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3"/>
              <w:framePr w:wrap="notBeside" w:vAnchor="page" w:hAnchor="page" w:x="1372" w:y="568"/>
              <w:tabs>
                <w:tab w:val="clear" w:pos="4153"/>
                <w:tab w:val="clear" w:pos="8306"/>
              </w:tabs>
              <w:jc w:val="left"/>
              <w:rPr>
                <w:rFonts w:ascii="黑体" w:hAnsi="黑体" w:eastAsia="黑体" w:cs="Times New Roman"/>
                <w:kern w:val="0"/>
                <w:sz w:val="21"/>
                <w:szCs w:val="21"/>
              </w:rPr>
            </w:pPr>
            <w:r>
              <w:rPr>
                <w:rFonts w:ascii="Times New Roman" w:hAnsi="Times New Roman" w:eastAsia="黑体" w:cs="Times New Roman"/>
                <w:kern w:val="0"/>
                <w:sz w:val="21"/>
                <w:szCs w:val="21"/>
              </w:rPr>
              <w:t>ICS</w:t>
            </w:r>
            <w:r>
              <w:rPr>
                <w:rFonts w:ascii="黑体" w:hAnsi="黑体" w:eastAsia="黑体" w:cs="Times New Roman"/>
                <w:kern w:val="0"/>
                <w:sz w:val="21"/>
                <w:szCs w:val="21"/>
              </w:rPr>
              <w:t xml:space="preserve">  </w:t>
            </w:r>
          </w:p>
        </w:tc>
        <w:tc>
          <w:tcPr>
            <w:tcW w:w="8855" w:type="dxa"/>
          </w:tcPr>
          <w:p>
            <w:pPr>
              <w:pStyle w:val="3"/>
              <w:framePr w:wrap="notBeside" w:vAnchor="page" w:hAnchor="page" w:x="1372" w:y="568"/>
              <w:tabs>
                <w:tab w:val="clear" w:pos="4153"/>
                <w:tab w:val="clear" w:pos="8306"/>
              </w:tabs>
              <w:jc w:val="both"/>
              <w:rPr>
                <w:rFonts w:ascii="黑体" w:hAnsi="黑体" w:eastAsia="黑体" w:cs="Times New Roman"/>
                <w:kern w:val="0"/>
                <w:sz w:val="21"/>
                <w:szCs w:val="21"/>
              </w:rPr>
            </w:pPr>
            <w:r>
              <w:rPr>
                <w:rFonts w:ascii="黑体" w:hAnsi="黑体" w:eastAsia="黑体" w:cs="Times New Roman"/>
                <w:kern w:val="0"/>
                <w:sz w:val="21"/>
                <w:szCs w:val="21"/>
              </w:rPr>
              <w:fldChar w:fldCharType="begin">
                <w:ffData>
                  <w:name w:val="ICS"/>
                  <w:enabled/>
                  <w:calcOnExit w:val="0"/>
                  <w:textInput>
                    <w:default w:val="点击此处添加ICS号"/>
                  </w:textInput>
                </w:ffData>
              </w:fldChar>
            </w:r>
            <w:bookmarkStart w:id="0" w:name="ICS"/>
            <w:r>
              <w:rPr>
                <w:rFonts w:ascii="黑体" w:hAnsi="黑体" w:eastAsia="黑体" w:cs="Times New Roman"/>
                <w:kern w:val="0"/>
                <w:sz w:val="21"/>
                <w:szCs w:val="21"/>
              </w:rPr>
              <w:instrText xml:space="preserve"> FORMTEXT </w:instrText>
            </w:r>
            <w:r>
              <w:rPr>
                <w:rFonts w:ascii="黑体" w:hAnsi="黑体" w:eastAsia="黑体" w:cs="Times New Roman"/>
                <w:kern w:val="0"/>
                <w:sz w:val="21"/>
                <w:szCs w:val="21"/>
              </w:rPr>
              <w:fldChar w:fldCharType="separate"/>
            </w:r>
            <w:r>
              <w:rPr>
                <w:rFonts w:ascii="黑体" w:hAnsi="黑体" w:eastAsia="黑体" w:cs="Times New Roman"/>
                <w:kern w:val="0"/>
                <w:sz w:val="21"/>
                <w:szCs w:val="21"/>
              </w:rPr>
              <w:t>65.020.20</w:t>
            </w:r>
            <w:r>
              <w:rPr>
                <w:rFonts w:ascii="黑体" w:hAnsi="黑体" w:eastAsia="黑体" w:cs="Times New Roman"/>
                <w:kern w:val="0"/>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3"/>
              <w:framePr w:wrap="notBeside" w:vAnchor="page" w:hAnchor="page" w:x="1372" w:y="568"/>
              <w:tabs>
                <w:tab w:val="clear" w:pos="4153"/>
                <w:tab w:val="clear" w:pos="8306"/>
              </w:tabs>
              <w:spacing w:before="40"/>
              <w:jc w:val="left"/>
              <w:rPr>
                <w:rFonts w:ascii="黑体" w:hAnsi="黑体" w:eastAsia="黑体" w:cs="Times New Roman"/>
                <w:kern w:val="0"/>
                <w:sz w:val="21"/>
                <w:szCs w:val="21"/>
              </w:rPr>
            </w:pPr>
            <w:r>
              <w:rPr>
                <w:rFonts w:ascii="Times New Roman" w:hAnsi="Times New Roman" w:eastAsia="黑体" w:cs="Times New Roman"/>
                <w:kern w:val="0"/>
                <w:sz w:val="21"/>
                <w:szCs w:val="21"/>
              </w:rPr>
              <w:t xml:space="preserve">CCS </w:t>
            </w:r>
            <w:r>
              <w:rPr>
                <w:rFonts w:ascii="黑体" w:hAnsi="黑体" w:eastAsia="黑体" w:cs="Times New Roman"/>
                <w:kern w:val="0"/>
                <w:sz w:val="21"/>
                <w:szCs w:val="21"/>
              </w:rPr>
              <w:t xml:space="preserve"> </w:t>
            </w:r>
          </w:p>
        </w:tc>
        <w:tc>
          <w:tcPr>
            <w:tcW w:w="8855" w:type="dxa"/>
          </w:tcPr>
          <w:tbl>
            <w:tblPr>
              <w:tblStyle w:val="6"/>
              <w:tblpPr w:leftFromText="180" w:rightFromText="180" w:vertAnchor="text" w:horzAnchor="page" w:tblpX="2669" w:tblpY="-52"/>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71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6711" w:type="dxa"/>
                </w:tcPr>
                <w:p>
                  <w:pPr>
                    <w:pStyle w:val="13"/>
                    <w:framePr w:wrap="notBeside" w:vAnchor="page" w:hAnchor="page" w:x="1372" w:y="568"/>
                    <w:rPr>
                      <w:rFonts w:ascii="宋体" w:hAnsi="宋体"/>
                      <w:sz w:val="28"/>
                      <w:szCs w:val="28"/>
                    </w:rPr>
                  </w:pPr>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rPr>
                      <w:rFonts w:hint="eastAsia"/>
                    </w:rPr>
                    <w:t>14</w:t>
                  </w:r>
                  <w:r>
                    <w:fldChar w:fldCharType="end"/>
                  </w:r>
                  <w:bookmarkEnd w:id="1"/>
                </w:p>
              </w:tc>
            </w:tr>
          </w:tbl>
          <w:p>
            <w:pPr>
              <w:pStyle w:val="3"/>
              <w:framePr w:wrap="notBeside" w:vAnchor="page" w:hAnchor="page" w:x="1372" w:y="568"/>
              <w:tabs>
                <w:tab w:val="clear" w:pos="4153"/>
                <w:tab w:val="clear" w:pos="8306"/>
              </w:tabs>
              <w:spacing w:before="40"/>
              <w:jc w:val="left"/>
              <w:rPr>
                <w:rFonts w:ascii="黑体" w:hAnsi="黑体" w:eastAsia="黑体" w:cs="Times New Roman"/>
                <w:kern w:val="0"/>
                <w:sz w:val="21"/>
                <w:szCs w:val="21"/>
              </w:rPr>
            </w:pPr>
            <w:r>
              <w:rPr>
                <w:rFonts w:ascii="黑体" w:hAnsi="黑体" w:eastAsia="黑体" w:cs="Times New Roman"/>
                <w:kern w:val="0"/>
                <w:sz w:val="21"/>
                <w:szCs w:val="21"/>
              </w:rPr>
              <w:fldChar w:fldCharType="begin">
                <w:ffData>
                  <w:name w:val="CSDN"/>
                  <w:enabled/>
                  <w:calcOnExit w:val="0"/>
                  <w:textInput>
                    <w:default w:val="点击此处添加CCS号"/>
                  </w:textInput>
                </w:ffData>
              </w:fldChar>
            </w:r>
            <w:bookmarkStart w:id="2" w:name="CSDN"/>
            <w:r>
              <w:rPr>
                <w:rFonts w:ascii="黑体" w:hAnsi="黑体" w:eastAsia="黑体" w:cs="Times New Roman"/>
                <w:kern w:val="0"/>
                <w:sz w:val="21"/>
                <w:szCs w:val="21"/>
              </w:rPr>
              <w:instrText xml:space="preserve"> FORMTEXT </w:instrText>
            </w:r>
            <w:r>
              <w:rPr>
                <w:rFonts w:ascii="黑体" w:hAnsi="黑体" w:eastAsia="黑体" w:cs="Times New Roman"/>
                <w:kern w:val="0"/>
                <w:sz w:val="21"/>
                <w:szCs w:val="21"/>
              </w:rPr>
              <w:fldChar w:fldCharType="separate"/>
            </w:r>
            <w:r>
              <w:rPr>
                <w:rFonts w:ascii="黑体" w:hAnsi="黑体" w:eastAsia="黑体" w:cs="Times New Roman"/>
                <w:kern w:val="0"/>
                <w:sz w:val="21"/>
                <w:szCs w:val="21"/>
              </w:rPr>
              <w:t>CCS B 05</w:t>
            </w:r>
            <w:r>
              <w:rPr>
                <w:rFonts w:ascii="黑体" w:hAnsi="黑体" w:eastAsia="黑体" w:cs="Times New Roman"/>
                <w:kern w:val="0"/>
                <w:sz w:val="21"/>
                <w:szCs w:val="21"/>
              </w:rPr>
              <w:fldChar w:fldCharType="end"/>
            </w:r>
            <w:bookmarkEnd w:id="2"/>
          </w:p>
        </w:tc>
      </w:tr>
    </w:tbl>
    <w:p>
      <w:pPr>
        <w:pStyle w:val="14"/>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3"/>
    <w:p>
      <w:pPr>
        <w:pStyle w:val="41"/>
        <w:framePr/>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14/T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Pr>
          <w:rFonts w:hint="eastAsia"/>
        </w:rPr>
        <w:t>1286</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2024</w:t>
      </w:r>
      <w:r>
        <w:fldChar w:fldCharType="end"/>
      </w:r>
      <w:bookmarkEnd w:id="7"/>
    </w:p>
    <w:p>
      <w:pPr>
        <w:pStyle w:val="42"/>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w:t>
      </w:r>
      <w:r>
        <w:rPr>
          <w:rFonts w:hint="eastAsia" w:hAnsi="黑体"/>
        </w:rPr>
        <w:t xml:space="preserve">14/T </w:t>
      </w:r>
      <w:r>
        <w:rPr>
          <w:rFonts w:hAnsi="黑体"/>
        </w:rPr>
        <w:t>1286-2016</w:t>
      </w:r>
      <w:r>
        <w:rPr>
          <w:rFonts w:hAnsi="黑体"/>
        </w:rPr>
        <w:fldChar w:fldCharType="end"/>
      </w:r>
      <w:bookmarkEnd w:id="8"/>
    </w:p>
    <w:p>
      <w:pPr>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14"/>
        <w:framePr w:w="9639" w:h="6976" w:hRule="exact" w:hSpace="0" w:vSpace="0" w:wrap="around" w:hAnchor="page" w:y="6408"/>
        <w:jc w:val="center"/>
        <w:rPr>
          <w:rFonts w:ascii="黑体" w:hAnsi="黑体" w:eastAsia="黑体"/>
          <w:b w:val="0"/>
          <w:bCs w:val="0"/>
          <w:w w:val="100"/>
        </w:rPr>
      </w:pPr>
    </w:p>
    <w:p>
      <w:pPr>
        <w:pStyle w:val="43"/>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设施蔬菜固碳生产技术规程</w:t>
      </w:r>
    </w:p>
    <w:p>
      <w:pPr>
        <w:pStyle w:val="43"/>
        <w:framePr w:h="6974" w:hRule="exact" w:wrap="around" w:x="1419" w:anchorLock="1"/>
      </w:pPr>
      <w:r>
        <w:t>日光温室茄子</w:t>
      </w:r>
      <w:r>
        <w:fldChar w:fldCharType="end"/>
      </w:r>
      <w:bookmarkEnd w:id="9"/>
    </w:p>
    <w:p>
      <w:pPr>
        <w:framePr w:w="9639" w:h="6974" w:hRule="exact" w:wrap="around" w:vAnchor="page" w:hAnchor="page" w:x="1419" w:y="6408" w:anchorLock="1"/>
        <w:ind w:left="-1418"/>
      </w:pPr>
    </w:p>
    <w:p>
      <w:pPr>
        <w:pStyle w:val="3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3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3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3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34"/>
        <w:framePr w:w="9639" w:h="6974" w:hRule="exact" w:wrap="around" w:vAnchor="page" w:hAnchor="page" w:x="1419" w:y="6408" w:anchorLock="1"/>
        <w:spacing w:before="936" w:beforeLines="300" w:after="93"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39"/>
        <w:framePr w:wrap="around" w:x="1429" w:y="13825"/>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40"/>
        <w:framePr w:wrap="around" w:y="13813"/>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35"/>
        <w:framePr w:h="584" w:hRule="exact" w:hSpace="181" w:vSpace="181" w:wrap="around" w:vAnchor="page" w:hAnchor="page" w:x="2237" w:y="15064"/>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山西市场监督管理局</w:t>
      </w:r>
      <w:r>
        <w:rPr>
          <w:rFonts w:hAnsi="黑体"/>
          <w:w w:val="100"/>
          <w:sz w:val="28"/>
        </w:rPr>
        <w:fldChar w:fldCharType="end"/>
      </w:r>
      <w:bookmarkEnd w:id="21"/>
      <w:r>
        <w:rPr>
          <w:rFonts w:ascii="Times New Roman"/>
          <w:w w:val="100"/>
          <w:sz w:val="28"/>
        </w:rPr>
        <w:t>  </w:t>
      </w:r>
      <w:r>
        <w:rPr>
          <w:rStyle w:val="52"/>
          <w:rFonts w:hint="eastAsia" w:hAnsi="黑体"/>
        </w:rPr>
        <w:t>发布</w:t>
      </w:r>
    </w:p>
    <w:p>
      <w:pPr>
        <w:rPr>
          <w:rFonts w:ascii="宋体" w:hAnsi="宋体"/>
          <w:sz w:val="28"/>
          <w:szCs w:val="28"/>
        </w:rPr>
        <w:sectPr>
          <w:headerReference r:id="rId4" w:type="first"/>
          <w:footerReference r:id="rId6" w:type="first"/>
          <w:headerReference r:id="rId3" w:type="default"/>
          <w:footerReference r:id="rId5" w:type="even"/>
          <w:pgSz w:w="11906" w:h="16838"/>
          <w:pgMar w:top="1440" w:right="1800" w:bottom="1440" w:left="1800" w:header="851" w:footer="992" w:gutter="0"/>
          <w:cols w:space="425" w:num="1"/>
          <w:docGrid w:type="lines"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9070340</wp:posOffset>
                </wp:positionV>
                <wp:extent cx="6119495"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14.2pt;height:0pt;width:481.85pt;mso-position-horizontal-relative:page;mso-position-vertical-relative:page;z-index:251660288;mso-width-relative:page;mso-height-relative:page;" filled="f" stroked="t" coordsize="21600,21600" o:gfxdata="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eo0MZ1gAAAA4B&#10;AAAPAAAAAAAAAAEAIAAAACIAAABkcnMvZG93bnJldi54bWxQSwECFAAUAAAACACHTuJAzBvpLOQB&#10;AACqAwAADgAAAAAAAAABACAAAAAlAQAAZHJzL2Uyb0RvYy54bWxQSwUGAAAAAAYABgBZAQAAewUA&#10;AAAA&#10;">
                <v:fill on="f" focussize="0,0"/>
                <v:stroke color="#000000" joinstyle="round"/>
                <v:imagedata o:title=""/>
                <o:lock v:ext="edit" aspectratio="f"/>
                <w10:anchorlock/>
              </v:line>
            </w:pict>
          </mc:Fallback>
        </mc:AlternateContent>
      </w:r>
    </w:p>
    <w:p>
      <w:pPr>
        <w:pStyle w:val="28"/>
        <w:spacing w:after="468"/>
      </w:pPr>
      <w:bookmarkStart w:id="22" w:name="BookMark1"/>
      <w:r>
        <w:rPr>
          <w:rFonts w:hint="eastAsia"/>
          <w:spacing w:val="320"/>
        </w:rPr>
        <w:t>目</w:t>
      </w:r>
      <w:r>
        <w:rPr>
          <w:rFonts w:hint="eastAsia"/>
        </w:rPr>
        <w:t>次</w:t>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"_Toc163422195" </w:instrText>
      </w:r>
      <w:r>
        <w:fldChar w:fldCharType="separate"/>
      </w:r>
      <w:r>
        <w:rPr>
          <w:rStyle w:val="8"/>
        </w:rPr>
        <w:t>前言</w:t>
      </w:r>
      <w:r>
        <w:tab/>
      </w:r>
      <w:r>
        <w:fldChar w:fldCharType="begin"/>
      </w:r>
      <w:r>
        <w:instrText xml:space="preserve"> PAGEREF _Toc163422195 \h </w:instrText>
      </w:r>
      <w:r>
        <w:fldChar w:fldCharType="separate"/>
      </w:r>
      <w:r>
        <w:t>II</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"_Toc163422196" </w:instrText>
      </w:r>
      <w:r>
        <w:fldChar w:fldCharType="separate"/>
      </w:r>
      <w:r>
        <w:rPr>
          <w:rStyle w:val="8"/>
        </w:rPr>
        <w:t>1  范围</w:t>
      </w:r>
      <w:r>
        <w:tab/>
      </w:r>
      <w:r>
        <w:fldChar w:fldCharType="begin"/>
      </w:r>
      <w:r>
        <w:instrText xml:space="preserve"> PAGEREF _Toc163422196 \h </w:instrText>
      </w:r>
      <w:r>
        <w:fldChar w:fldCharType="separate"/>
      </w:r>
      <w:r>
        <w:t>1</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"_Toc163422197" </w:instrText>
      </w:r>
      <w:r>
        <w:fldChar w:fldCharType="separate"/>
      </w:r>
      <w:r>
        <w:rPr>
          <w:rStyle w:val="8"/>
        </w:rPr>
        <w:t>2  规范性引用文件</w:t>
      </w:r>
      <w:r>
        <w:tab/>
      </w:r>
      <w:r>
        <w:fldChar w:fldCharType="begin"/>
      </w:r>
      <w:r>
        <w:instrText xml:space="preserve"> PAGEREF _Toc163422197 \h </w:instrText>
      </w:r>
      <w:r>
        <w:fldChar w:fldCharType="separate"/>
      </w:r>
      <w:r>
        <w:t>1</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"_Toc163422198" </w:instrText>
      </w:r>
      <w:r>
        <w:fldChar w:fldCharType="separate"/>
      </w:r>
      <w:r>
        <w:rPr>
          <w:rStyle w:val="8"/>
        </w:rPr>
        <w:t>3  术语和定义</w:t>
      </w:r>
      <w:r>
        <w:tab/>
      </w:r>
      <w:r>
        <w:fldChar w:fldCharType="begin"/>
      </w:r>
      <w:r>
        <w:instrText xml:space="preserve"> PAGEREF _Toc163422198 \h </w:instrText>
      </w:r>
      <w:r>
        <w:fldChar w:fldCharType="separate"/>
      </w:r>
      <w:r>
        <w:t>1</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"_Toc163422199" </w:instrText>
      </w:r>
      <w:r>
        <w:fldChar w:fldCharType="separate"/>
      </w:r>
      <w:r>
        <w:rPr>
          <w:rStyle w:val="8"/>
        </w:rPr>
        <w:t>4  温室结构与性能</w:t>
      </w:r>
      <w:r>
        <w:tab/>
      </w:r>
      <w:r>
        <w:fldChar w:fldCharType="begin"/>
      </w:r>
      <w:r>
        <w:instrText xml:space="preserve"> PAGEREF _Toc163422199 \h </w:instrText>
      </w:r>
      <w:r>
        <w:fldChar w:fldCharType="separate"/>
      </w:r>
      <w:r>
        <w:t>1</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"_Toc163422200" </w:instrText>
      </w:r>
      <w:r>
        <w:fldChar w:fldCharType="separate"/>
      </w:r>
      <w:r>
        <w:rPr>
          <w:rStyle w:val="8"/>
        </w:rPr>
        <w:t>5  茬口安排</w:t>
      </w:r>
      <w:r>
        <w:tab/>
      </w:r>
      <w:r>
        <w:fldChar w:fldCharType="begin"/>
      </w:r>
      <w:r>
        <w:instrText xml:space="preserve"> PAGEREF _Toc163422200 \h </w:instrText>
      </w:r>
      <w:r>
        <w:fldChar w:fldCharType="separate"/>
      </w:r>
      <w:r>
        <w:t>2</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"_Toc163422201" </w:instrText>
      </w:r>
      <w:r>
        <w:fldChar w:fldCharType="separate"/>
      </w:r>
      <w:r>
        <w:rPr>
          <w:rStyle w:val="8"/>
        </w:rPr>
        <w:t>6  种苗</w:t>
      </w:r>
      <w:r>
        <w:tab/>
      </w:r>
      <w:r>
        <w:fldChar w:fldCharType="begin"/>
      </w:r>
      <w:r>
        <w:instrText xml:space="preserve"> PAGEREF _Toc163422201 \h </w:instrText>
      </w:r>
      <w:r>
        <w:fldChar w:fldCharType="separate"/>
      </w:r>
      <w:r>
        <w:t>2</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"_Toc163422202" </w:instrText>
      </w:r>
      <w:r>
        <w:fldChar w:fldCharType="separate"/>
      </w:r>
      <w:r>
        <w:rPr>
          <w:rStyle w:val="8"/>
        </w:rPr>
        <w:t>7  整地施肥</w:t>
      </w:r>
      <w:r>
        <w:tab/>
      </w:r>
      <w:r>
        <w:fldChar w:fldCharType="begin"/>
      </w:r>
      <w:r>
        <w:instrText xml:space="preserve"> PAGEREF _Toc163422202 \h </w:instrText>
      </w:r>
      <w:r>
        <w:fldChar w:fldCharType="separate"/>
      </w:r>
      <w:r>
        <w:t>2</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"_Toc163422203" </w:instrText>
      </w:r>
      <w:r>
        <w:fldChar w:fldCharType="separate"/>
      </w:r>
      <w:r>
        <w:rPr>
          <w:rStyle w:val="8"/>
        </w:rPr>
        <w:t>8  定植</w:t>
      </w:r>
      <w:r>
        <w:tab/>
      </w:r>
      <w:r>
        <w:fldChar w:fldCharType="begin"/>
      </w:r>
      <w:r>
        <w:instrText xml:space="preserve"> PAGEREF _Toc163422203 \h </w:instrText>
      </w:r>
      <w:r>
        <w:fldChar w:fldCharType="separate"/>
      </w:r>
      <w:r>
        <w:t>2</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"_Toc163422204" </w:instrText>
      </w:r>
      <w:r>
        <w:fldChar w:fldCharType="separate"/>
      </w:r>
      <w:r>
        <w:rPr>
          <w:rStyle w:val="8"/>
        </w:rPr>
        <w:t>9  田间管理</w:t>
      </w:r>
      <w:r>
        <w:tab/>
      </w:r>
      <w:r>
        <w:fldChar w:fldCharType="begin"/>
      </w:r>
      <w:r>
        <w:instrText xml:space="preserve"> PAGEREF _Toc163422204 \h </w:instrText>
      </w:r>
      <w:r>
        <w:fldChar w:fldCharType="separate"/>
      </w:r>
      <w:r>
        <w:t>2</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"_Toc163422205" </w:instrText>
      </w:r>
      <w:r>
        <w:fldChar w:fldCharType="separate"/>
      </w:r>
      <w:r>
        <w:rPr>
          <w:rStyle w:val="8"/>
        </w:rPr>
        <w:t>10  二氧化碳施肥</w:t>
      </w:r>
      <w:r>
        <w:tab/>
      </w:r>
      <w:r>
        <w:fldChar w:fldCharType="begin"/>
      </w:r>
      <w:r>
        <w:instrText xml:space="preserve"> PAGEREF _Toc163422205 \h </w:instrText>
      </w:r>
      <w:r>
        <w:fldChar w:fldCharType="separate"/>
      </w:r>
      <w:r>
        <w:t>3</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"_Toc163422206" </w:instrText>
      </w:r>
      <w:r>
        <w:fldChar w:fldCharType="separate"/>
      </w:r>
      <w:r>
        <w:rPr>
          <w:rStyle w:val="8"/>
        </w:rPr>
        <w:t>11  病虫害防治</w:t>
      </w:r>
      <w:r>
        <w:tab/>
      </w:r>
      <w:r>
        <w:fldChar w:fldCharType="begin"/>
      </w:r>
      <w:r>
        <w:instrText xml:space="preserve"> PAGEREF _Toc163422206 \h </w:instrText>
      </w:r>
      <w:r>
        <w:fldChar w:fldCharType="separate"/>
      </w:r>
      <w:r>
        <w:t>3</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"_Toc163422207" </w:instrText>
      </w:r>
      <w:r>
        <w:fldChar w:fldCharType="separate"/>
      </w:r>
      <w:r>
        <w:rPr>
          <w:rStyle w:val="8"/>
        </w:rPr>
        <w:t>12  采收</w:t>
      </w:r>
      <w:r>
        <w:tab/>
      </w:r>
      <w:r>
        <w:fldChar w:fldCharType="begin"/>
      </w:r>
      <w:r>
        <w:instrText xml:space="preserve"> PAGEREF _Toc163422207 \h </w:instrText>
      </w:r>
      <w:r>
        <w:fldChar w:fldCharType="separate"/>
      </w:r>
      <w:r>
        <w:t>3</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"_Toc163422208" </w:instrText>
      </w:r>
      <w:r>
        <w:fldChar w:fldCharType="separate"/>
      </w:r>
      <w:r>
        <w:rPr>
          <w:rStyle w:val="8"/>
        </w:rPr>
        <w:t>13  生产档案</w:t>
      </w:r>
      <w:r>
        <w:tab/>
      </w:r>
      <w:r>
        <w:fldChar w:fldCharType="begin"/>
      </w:r>
      <w:r>
        <w:instrText xml:space="preserve"> PAGEREF _Toc163422208 \h </w:instrText>
      </w:r>
      <w:r>
        <w:fldChar w:fldCharType="separate"/>
      </w:r>
      <w:r>
        <w:t>4</w:t>
      </w:r>
      <w:r>
        <w:fldChar w:fldCharType="end"/>
      </w:r>
      <w:r>
        <w:fldChar w:fldCharType="end"/>
      </w:r>
    </w:p>
    <w:p>
      <w:pPr>
        <w:pStyle w:val="4"/>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"_Toc163422209" </w:instrText>
      </w:r>
      <w:r>
        <w:fldChar w:fldCharType="separate"/>
      </w:r>
      <w:r>
        <w:rPr>
          <w:rStyle w:val="8"/>
        </w:rPr>
        <w:t>附录A（资料性）  生产档案</w:t>
      </w:r>
      <w:r>
        <w:tab/>
      </w:r>
      <w:r>
        <w:fldChar w:fldCharType="begin"/>
      </w:r>
      <w:r>
        <w:instrText xml:space="preserve"> PAGEREF _Toc163422209 \h </w:instrText>
      </w:r>
      <w:r>
        <w:fldChar w:fldCharType="separate"/>
      </w:r>
      <w:r>
        <w:t>5</w:t>
      </w:r>
      <w:r>
        <w:fldChar w:fldCharType="end"/>
      </w:r>
      <w:r>
        <w:fldChar w:fldCharType="end"/>
      </w:r>
    </w:p>
    <w:p>
      <w:pPr>
        <w:pStyle w:val="28"/>
        <w:spacing w:after="468"/>
        <w:sectPr>
          <w:headerReference r:id="rId7" w:type="default"/>
          <w:footerReference r:id="rId9" w:type="default"/>
          <w:headerReference r:id="rId8"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22"/>
    <w:p>
      <w:pPr>
        <w:pStyle w:val="27"/>
        <w:spacing w:after="468"/>
      </w:pPr>
      <w:bookmarkStart w:id="23" w:name="_Toc163422195"/>
      <w:bookmarkStart w:id="24" w:name="BookMark2"/>
      <w:r>
        <w:rPr>
          <w:spacing w:val="320"/>
        </w:rPr>
        <w:t>前</w:t>
      </w:r>
      <w:r>
        <w:t>言</w:t>
      </w:r>
      <w:bookmarkEnd w:id="23"/>
    </w:p>
    <w:p>
      <w:pPr>
        <w:pStyle w:val="17"/>
        <w:ind w:firstLine="420"/>
      </w:pPr>
      <w:r>
        <w:rPr>
          <w:rFonts w:hint="eastAsia"/>
        </w:rPr>
        <w:t>本文件按照GB/T 1.1—2020《标准化工作导则  第1部分：标准化文件的结构和起草规则》的规定起草。</w:t>
      </w:r>
    </w:p>
    <w:p>
      <w:pPr>
        <w:pStyle w:val="17"/>
        <w:ind w:firstLine="420"/>
        <w:rPr>
          <w:rFonts w:ascii="Times New Roman"/>
          <w:szCs w:val="24"/>
        </w:rPr>
      </w:pPr>
      <w:r>
        <w:rPr>
          <w:rFonts w:hint="eastAsia" w:ascii="Times New Roman"/>
          <w:szCs w:val="24"/>
        </w:rPr>
        <w:t>本文件是“设施蔬菜固碳生产技术规程”系列标准之一，本系列标准由以下文件组成：</w:t>
      </w:r>
    </w:p>
    <w:p>
      <w:pPr>
        <w:pStyle w:val="17"/>
        <w:ind w:firstLine="420"/>
        <w:rPr>
          <w:rFonts w:ascii="Times New Roman"/>
          <w:szCs w:val="24"/>
        </w:rPr>
      </w:pPr>
      <w:r>
        <w:rPr>
          <w:rFonts w:hint="eastAsia" w:ascii="Times New Roman"/>
          <w:szCs w:val="24"/>
        </w:rPr>
        <w:t>——DB14/T 1288  设施蔬菜二氧化碳施肥技术规程</w:t>
      </w:r>
    </w:p>
    <w:p>
      <w:pPr>
        <w:pStyle w:val="17"/>
        <w:ind w:firstLine="420"/>
        <w:rPr>
          <w:rFonts w:ascii="Times New Roman"/>
          <w:szCs w:val="24"/>
        </w:rPr>
      </w:pPr>
      <w:r>
        <w:rPr>
          <w:rFonts w:hint="eastAsia" w:ascii="Times New Roman"/>
          <w:szCs w:val="24"/>
        </w:rPr>
        <w:t>——DB14/T 1287  设施蔬菜固碳生产技术规程 日光温室结构与性能</w:t>
      </w:r>
    </w:p>
    <w:p>
      <w:pPr>
        <w:pStyle w:val="17"/>
        <w:ind w:firstLine="420"/>
        <w:rPr>
          <w:rFonts w:ascii="Times New Roman"/>
          <w:szCs w:val="24"/>
        </w:rPr>
      </w:pPr>
      <w:r>
        <w:rPr>
          <w:rFonts w:hint="eastAsia" w:ascii="Times New Roman"/>
          <w:szCs w:val="24"/>
        </w:rPr>
        <w:t>——DB14/T 1281  设施蔬菜固碳生产技术规程 果菜类育苗</w:t>
      </w:r>
    </w:p>
    <w:p>
      <w:pPr>
        <w:pStyle w:val="17"/>
        <w:ind w:firstLine="420"/>
        <w:rPr>
          <w:rFonts w:ascii="Times New Roman"/>
          <w:szCs w:val="24"/>
        </w:rPr>
      </w:pPr>
      <w:r>
        <w:rPr>
          <w:rFonts w:hint="eastAsia" w:ascii="Times New Roman"/>
          <w:szCs w:val="24"/>
        </w:rPr>
        <w:t>——DB14/T 1279  设施蔬菜固碳生产技术规程 日光温室番茄</w:t>
      </w:r>
    </w:p>
    <w:p>
      <w:pPr>
        <w:pStyle w:val="17"/>
        <w:ind w:firstLine="420"/>
        <w:rPr>
          <w:rFonts w:ascii="Times New Roman"/>
          <w:szCs w:val="24"/>
        </w:rPr>
      </w:pPr>
      <w:r>
        <w:rPr>
          <w:rFonts w:hint="eastAsia" w:ascii="Times New Roman"/>
          <w:szCs w:val="24"/>
        </w:rPr>
        <w:t>——DB14/T 1282  设施蔬菜固碳生产技术规程 日光温室黄瓜</w:t>
      </w:r>
    </w:p>
    <w:p>
      <w:pPr>
        <w:pStyle w:val="17"/>
        <w:ind w:firstLine="420"/>
        <w:rPr>
          <w:rFonts w:ascii="Times New Roman"/>
          <w:szCs w:val="24"/>
        </w:rPr>
      </w:pPr>
      <w:r>
        <w:rPr>
          <w:rFonts w:hint="eastAsia" w:ascii="Times New Roman"/>
          <w:szCs w:val="24"/>
        </w:rPr>
        <w:t>——DB14/T 1283  设施蔬菜固碳生产技术规程 日光温室辣椒</w:t>
      </w:r>
    </w:p>
    <w:p>
      <w:pPr>
        <w:pStyle w:val="17"/>
        <w:ind w:firstLine="420"/>
        <w:rPr>
          <w:rFonts w:ascii="Times New Roman"/>
          <w:szCs w:val="24"/>
        </w:rPr>
      </w:pPr>
      <w:r>
        <w:rPr>
          <w:rFonts w:hint="eastAsia" w:ascii="Times New Roman"/>
          <w:szCs w:val="24"/>
        </w:rPr>
        <w:t>——DB14/T 1284  设施蔬菜固碳生产技术规程 日光温室胡萝卜</w:t>
      </w:r>
    </w:p>
    <w:p>
      <w:pPr>
        <w:pStyle w:val="17"/>
        <w:ind w:firstLine="420"/>
        <w:rPr>
          <w:rFonts w:ascii="Times New Roman"/>
          <w:szCs w:val="24"/>
        </w:rPr>
      </w:pPr>
      <w:r>
        <w:rPr>
          <w:rFonts w:hint="eastAsia" w:ascii="Times New Roman"/>
          <w:szCs w:val="24"/>
        </w:rPr>
        <w:t>——DB14/T 1286  设施蔬菜固碳生产技术规程 日光温室茄子</w:t>
      </w:r>
    </w:p>
    <w:p>
      <w:pPr>
        <w:pStyle w:val="17"/>
        <w:ind w:firstLine="420"/>
        <w:rPr>
          <w:rFonts w:ascii="Times New Roman"/>
          <w:szCs w:val="24"/>
        </w:rPr>
      </w:pPr>
      <w:r>
        <w:rPr>
          <w:rFonts w:hint="eastAsia" w:ascii="Times New Roman"/>
          <w:szCs w:val="24"/>
        </w:rPr>
        <w:t>——DB14/T 1289  设施蔬菜固碳生产技术规程 塑料大棚番茄</w:t>
      </w:r>
    </w:p>
    <w:p>
      <w:pPr>
        <w:pStyle w:val="17"/>
        <w:ind w:firstLine="420"/>
        <w:rPr>
          <w:rFonts w:ascii="Times New Roman"/>
          <w:szCs w:val="24"/>
        </w:rPr>
      </w:pPr>
      <w:r>
        <w:rPr>
          <w:rFonts w:hint="eastAsia" w:ascii="Times New Roman"/>
          <w:szCs w:val="24"/>
        </w:rPr>
        <w:t>——DB14/T 1555  设施蔬菜固碳生产技术规程 日光温室西芹</w:t>
      </w:r>
    </w:p>
    <w:p>
      <w:pPr>
        <w:pStyle w:val="17"/>
        <w:ind w:firstLine="420"/>
        <w:rPr>
          <w:rFonts w:ascii="Times New Roman"/>
          <w:szCs w:val="24"/>
        </w:rPr>
      </w:pPr>
      <w:r>
        <w:rPr>
          <w:rFonts w:hint="eastAsia" w:ascii="Times New Roman"/>
          <w:szCs w:val="24"/>
        </w:rPr>
        <w:t>——DB14/T 1562  设施蔬菜固碳生产技术规程 塑料大棚茄子</w:t>
      </w:r>
    </w:p>
    <w:p>
      <w:pPr>
        <w:pStyle w:val="17"/>
        <w:ind w:firstLine="420"/>
        <w:rPr>
          <w:rFonts w:ascii="Times New Roman"/>
          <w:szCs w:val="24"/>
        </w:rPr>
      </w:pPr>
      <w:r>
        <w:rPr>
          <w:rFonts w:hint="eastAsia" w:ascii="Times New Roman"/>
          <w:szCs w:val="24"/>
        </w:rPr>
        <w:t>——DB14/T 1563  设施蔬菜固碳生产技术规程 西瓜</w:t>
      </w:r>
    </w:p>
    <w:p>
      <w:pPr>
        <w:pStyle w:val="17"/>
        <w:ind w:firstLine="420"/>
        <w:rPr>
          <w:rFonts w:ascii="Times New Roman"/>
          <w:szCs w:val="24"/>
        </w:rPr>
      </w:pPr>
      <w:r>
        <w:rPr>
          <w:rFonts w:hint="eastAsia" w:ascii="Times New Roman"/>
          <w:szCs w:val="24"/>
        </w:rPr>
        <w:t>——DB14/T 1564  设施蔬菜固碳生产技术规程 塑料大棚西葫芦</w:t>
      </w:r>
    </w:p>
    <w:p>
      <w:pPr>
        <w:pStyle w:val="17"/>
        <w:ind w:firstLine="420"/>
        <w:rPr>
          <w:rFonts w:ascii="Times New Roman"/>
          <w:szCs w:val="24"/>
        </w:rPr>
      </w:pPr>
      <w:r>
        <w:rPr>
          <w:rFonts w:hint="eastAsia" w:ascii="Times New Roman"/>
          <w:szCs w:val="24"/>
        </w:rPr>
        <w:t>——DB14/T 1565  设施蔬菜固碳生产技术规程 塑料大棚黄瓜</w:t>
      </w:r>
    </w:p>
    <w:p>
      <w:pPr>
        <w:pStyle w:val="17"/>
        <w:ind w:firstLine="420"/>
        <w:rPr>
          <w:rFonts w:ascii="Times New Roman"/>
          <w:szCs w:val="24"/>
        </w:rPr>
      </w:pPr>
      <w:r>
        <w:rPr>
          <w:rFonts w:hint="eastAsia" w:ascii="Times New Roman"/>
          <w:szCs w:val="24"/>
        </w:rPr>
        <w:t>——DB14/T 1568  设施蔬菜固碳生产技术规程 日光温室生菜</w:t>
      </w:r>
    </w:p>
    <w:p>
      <w:pPr>
        <w:pStyle w:val="17"/>
        <w:ind w:firstLine="420"/>
        <w:rPr>
          <w:rFonts w:ascii="Times New Roman"/>
          <w:szCs w:val="24"/>
        </w:rPr>
      </w:pPr>
      <w:r>
        <w:rPr>
          <w:rFonts w:hint="eastAsia" w:ascii="Times New Roman"/>
          <w:szCs w:val="24"/>
        </w:rPr>
        <w:t>——DB14/T 1569  设施蔬菜固碳生产技术规程 日光温室西葫芦</w:t>
      </w:r>
    </w:p>
    <w:p>
      <w:pPr>
        <w:pStyle w:val="17"/>
        <w:ind w:firstLine="420"/>
        <w:rPr>
          <w:rFonts w:ascii="Times New Roman"/>
          <w:szCs w:val="24"/>
        </w:rPr>
      </w:pPr>
      <w:r>
        <w:rPr>
          <w:rFonts w:hint="eastAsia" w:ascii="Times New Roman"/>
          <w:szCs w:val="24"/>
        </w:rPr>
        <w:t xml:space="preserve">本文件代替DB14/T </w:t>
      </w:r>
      <w:r>
        <w:rPr>
          <w:rFonts w:ascii="Times New Roman"/>
          <w:szCs w:val="24"/>
        </w:rPr>
        <w:t>1286</w:t>
      </w:r>
      <w:r>
        <w:rPr>
          <w:rFonts w:hint="eastAsia" w:ascii="Times New Roman"/>
          <w:szCs w:val="24"/>
        </w:rPr>
        <w:t>—</w:t>
      </w:r>
      <w:r>
        <w:rPr>
          <w:rFonts w:ascii="Times New Roman"/>
          <w:szCs w:val="24"/>
        </w:rPr>
        <w:t>2016</w:t>
      </w:r>
      <w:r>
        <w:rPr>
          <w:rFonts w:hint="eastAsia" w:ascii="Times New Roman"/>
          <w:szCs w:val="24"/>
        </w:rPr>
        <w:t xml:space="preserve">《日光温室茄子高效固碳生产技术规程》，与DB14/T </w:t>
      </w:r>
      <w:r>
        <w:rPr>
          <w:rFonts w:ascii="Times New Roman"/>
          <w:szCs w:val="24"/>
        </w:rPr>
        <w:t>1286</w:t>
      </w:r>
      <w:r>
        <w:rPr>
          <w:rFonts w:hint="eastAsia" w:ascii="Times New Roman"/>
          <w:szCs w:val="24"/>
        </w:rPr>
        <w:t>—</w:t>
      </w:r>
      <w:r>
        <w:rPr>
          <w:rFonts w:ascii="Times New Roman"/>
          <w:szCs w:val="24"/>
        </w:rPr>
        <w:t>2016</w:t>
      </w:r>
      <w:r>
        <w:rPr>
          <w:rFonts w:hint="eastAsia" w:ascii="Times New Roman"/>
          <w:szCs w:val="24"/>
        </w:rPr>
        <w:t>相比，除结构调整和编辑性改动外，主要技术变化如下:</w:t>
      </w:r>
    </w:p>
    <w:p>
      <w:pPr>
        <w:pStyle w:val="17"/>
        <w:ind w:firstLine="420"/>
        <w:rPr>
          <w:rFonts w:ascii="Times New Roman"/>
          <w:szCs w:val="24"/>
        </w:rPr>
      </w:pPr>
      <w:r>
        <w:rPr>
          <w:rFonts w:hint="eastAsia" w:ascii="Times New Roman"/>
          <w:szCs w:val="24"/>
        </w:rPr>
        <w:t>——更改了标准名称；</w:t>
      </w:r>
    </w:p>
    <w:p>
      <w:pPr>
        <w:pStyle w:val="17"/>
        <w:ind w:firstLine="420"/>
        <w:rPr>
          <w:rFonts w:ascii="Times New Roman"/>
          <w:szCs w:val="24"/>
        </w:rPr>
      </w:pPr>
      <w:r>
        <w:rPr>
          <w:rFonts w:hint="eastAsia" w:ascii="Times New Roman"/>
          <w:szCs w:val="24"/>
        </w:rPr>
        <w:t>——更改了范围（见1</w:t>
      </w:r>
      <w:r>
        <w:rPr>
          <w:rFonts w:ascii="Times New Roman"/>
          <w:szCs w:val="24"/>
        </w:rPr>
        <w:t>，2016版1</w:t>
      </w:r>
      <w:r>
        <w:rPr>
          <w:rFonts w:hint="eastAsia" w:ascii="Times New Roman"/>
          <w:szCs w:val="24"/>
        </w:rPr>
        <w:t>）；</w:t>
      </w:r>
    </w:p>
    <w:p>
      <w:pPr>
        <w:pStyle w:val="17"/>
        <w:ind w:firstLine="420"/>
        <w:rPr>
          <w:rFonts w:ascii="Times New Roman"/>
          <w:szCs w:val="24"/>
        </w:rPr>
      </w:pPr>
      <w:r>
        <w:rPr>
          <w:rFonts w:hint="eastAsia" w:ascii="Times New Roman"/>
          <w:szCs w:val="24"/>
        </w:rPr>
        <w:t>——更改了术语和定义（见3</w:t>
      </w:r>
      <w:r>
        <w:rPr>
          <w:rFonts w:ascii="Times New Roman"/>
          <w:szCs w:val="24"/>
        </w:rPr>
        <w:t>，2016版</w:t>
      </w:r>
      <w:r>
        <w:rPr>
          <w:rFonts w:hint="eastAsia" w:ascii="Times New Roman"/>
          <w:szCs w:val="24"/>
        </w:rPr>
        <w:t>3）；</w:t>
      </w:r>
    </w:p>
    <w:p>
      <w:pPr>
        <w:pStyle w:val="17"/>
        <w:ind w:firstLine="420"/>
        <w:rPr>
          <w:rFonts w:ascii="Times New Roman"/>
          <w:szCs w:val="24"/>
        </w:rPr>
      </w:pPr>
      <w:r>
        <w:rPr>
          <w:rFonts w:hint="eastAsia" w:ascii="Times New Roman"/>
          <w:szCs w:val="24"/>
        </w:rPr>
        <w:t>——增加了温室结构与性能（见4）；</w:t>
      </w:r>
    </w:p>
    <w:p>
      <w:pPr>
        <w:pStyle w:val="17"/>
        <w:ind w:firstLine="420"/>
        <w:rPr>
          <w:rFonts w:ascii="Times New Roman"/>
          <w:szCs w:val="24"/>
        </w:rPr>
      </w:pPr>
      <w:r>
        <w:rPr>
          <w:rFonts w:hint="eastAsia" w:ascii="Times New Roman"/>
          <w:szCs w:val="24"/>
        </w:rPr>
        <w:t>——增加了茬口安排（见5）；</w:t>
      </w:r>
    </w:p>
    <w:p>
      <w:pPr>
        <w:pStyle w:val="17"/>
        <w:ind w:firstLine="420"/>
        <w:rPr>
          <w:rFonts w:ascii="Times New Roman"/>
          <w:szCs w:val="24"/>
        </w:rPr>
      </w:pPr>
      <w:r>
        <w:rPr>
          <w:rFonts w:hint="eastAsia" w:ascii="Times New Roman"/>
          <w:szCs w:val="24"/>
        </w:rPr>
        <w:t>——更改了品种选择（见6.1</w:t>
      </w:r>
      <w:r>
        <w:rPr>
          <w:rFonts w:ascii="Times New Roman"/>
          <w:szCs w:val="24"/>
        </w:rPr>
        <w:t>，2016版</w:t>
      </w:r>
      <w:r>
        <w:rPr>
          <w:rFonts w:hint="eastAsia" w:ascii="Times New Roman"/>
          <w:szCs w:val="24"/>
        </w:rPr>
        <w:t>4.</w:t>
      </w:r>
      <w:r>
        <w:rPr>
          <w:rFonts w:ascii="Times New Roman"/>
          <w:szCs w:val="24"/>
        </w:rPr>
        <w:t>1</w:t>
      </w:r>
      <w:r>
        <w:rPr>
          <w:rFonts w:hint="eastAsia" w:ascii="Times New Roman"/>
          <w:szCs w:val="24"/>
        </w:rPr>
        <w:t>）；</w:t>
      </w:r>
    </w:p>
    <w:p>
      <w:pPr>
        <w:pStyle w:val="17"/>
        <w:ind w:firstLine="420"/>
        <w:rPr>
          <w:rFonts w:ascii="Times New Roman"/>
          <w:szCs w:val="24"/>
        </w:rPr>
      </w:pPr>
      <w:r>
        <w:rPr>
          <w:rFonts w:hint="eastAsia" w:ascii="Times New Roman"/>
          <w:szCs w:val="24"/>
        </w:rPr>
        <w:t>——更改了二氧化碳施肥（见10</w:t>
      </w:r>
      <w:r>
        <w:rPr>
          <w:rFonts w:ascii="Times New Roman"/>
          <w:szCs w:val="24"/>
        </w:rPr>
        <w:t>，2016版</w:t>
      </w:r>
      <w:r>
        <w:rPr>
          <w:rFonts w:hint="eastAsia" w:ascii="Times New Roman"/>
          <w:szCs w:val="24"/>
        </w:rPr>
        <w:t>8）；</w:t>
      </w:r>
    </w:p>
    <w:p>
      <w:pPr>
        <w:pStyle w:val="17"/>
        <w:ind w:firstLine="420"/>
      </w:pPr>
      <w:r>
        <w:rPr>
          <w:rFonts w:hint="eastAsia"/>
        </w:rPr>
        <w:t>——增加了病虫害防治（见11）；</w:t>
      </w:r>
    </w:p>
    <w:p>
      <w:pPr>
        <w:pStyle w:val="17"/>
        <w:ind w:firstLine="420"/>
      </w:pPr>
      <w:r>
        <w:t>——增加了</w:t>
      </w:r>
      <w:r>
        <w:rPr>
          <w:rFonts w:hint="eastAsia"/>
        </w:rPr>
        <w:t>生产档案附录</w:t>
      </w:r>
      <w:r>
        <w:t>（见附录A）。</w:t>
      </w:r>
    </w:p>
    <w:p>
      <w:pPr>
        <w:pStyle w:val="17"/>
        <w:ind w:firstLine="420"/>
        <w:rPr>
          <w:rFonts w:ascii="Times New Roman"/>
          <w:szCs w:val="24"/>
        </w:rPr>
      </w:pPr>
      <w:r>
        <w:rPr>
          <w:rFonts w:hint="eastAsia" w:ascii="Times New Roman"/>
          <w:szCs w:val="24"/>
        </w:rPr>
        <w:t>本文件由山西省农业农村厅提出、组织实施和监督检查。</w:t>
      </w:r>
    </w:p>
    <w:p>
      <w:pPr>
        <w:pStyle w:val="17"/>
        <w:ind w:firstLine="420"/>
        <w:rPr>
          <w:rFonts w:ascii="Times New Roman"/>
          <w:szCs w:val="24"/>
        </w:rPr>
      </w:pPr>
      <w:r>
        <w:rPr>
          <w:rFonts w:hint="eastAsia" w:ascii="Times New Roman"/>
          <w:szCs w:val="24"/>
        </w:rPr>
        <w:t>本文件由山西省市场监督管理局对标准的组织实施情况进行监督检查。</w:t>
      </w:r>
    </w:p>
    <w:p>
      <w:pPr>
        <w:pStyle w:val="17"/>
        <w:ind w:firstLine="420"/>
        <w:rPr>
          <w:rFonts w:ascii="Times New Roman"/>
          <w:szCs w:val="24"/>
        </w:rPr>
      </w:pPr>
      <w:r>
        <w:rPr>
          <w:rFonts w:hint="eastAsia" w:ascii="Times New Roman"/>
          <w:szCs w:val="24"/>
        </w:rPr>
        <w:t>本文件由山西省农业标准化技术委员会（SXS/TC19)归口。</w:t>
      </w:r>
    </w:p>
    <w:p>
      <w:pPr>
        <w:pStyle w:val="17"/>
        <w:ind w:firstLine="420"/>
        <w:rPr>
          <w:rFonts w:ascii="Times New Roman"/>
          <w:szCs w:val="24"/>
        </w:rPr>
      </w:pPr>
      <w:r>
        <w:rPr>
          <w:rFonts w:hint="eastAsia" w:ascii="Times New Roman"/>
          <w:szCs w:val="24"/>
        </w:rPr>
        <w:t>本文件起草单位：山西农业大学园艺学院。</w:t>
      </w:r>
    </w:p>
    <w:p>
      <w:pPr>
        <w:pStyle w:val="17"/>
        <w:ind w:firstLine="420"/>
        <w:rPr>
          <w:rFonts w:ascii="Times New Roman"/>
          <w:szCs w:val="24"/>
        </w:rPr>
      </w:pPr>
      <w:r>
        <w:rPr>
          <w:rFonts w:hint="eastAsia" w:ascii="Times New Roman"/>
          <w:szCs w:val="24"/>
        </w:rPr>
        <w:t>本文件主要起草人：</w:t>
      </w:r>
      <w:r>
        <w:rPr>
          <w:rFonts w:ascii="Times New Roman"/>
          <w:szCs w:val="24"/>
          <w:shd w:val="clear" w:color="auto" w:fill="FFFFFF"/>
        </w:rPr>
        <w:t>王文娇、侯雷平、张 静、王军娥、李 斌、张 毅、宋红霞、孙 胜、李梅兰、邢国明</w:t>
      </w:r>
      <w:r>
        <w:rPr>
          <w:rFonts w:hint="eastAsia" w:ascii="Times New Roman"/>
          <w:szCs w:val="24"/>
          <w:shd w:val="clear" w:color="auto" w:fill="FFFFFF"/>
        </w:rPr>
        <w:t>。</w:t>
      </w:r>
    </w:p>
    <w:p>
      <w:pPr>
        <w:pStyle w:val="17"/>
        <w:ind w:firstLine="420"/>
        <w:rPr>
          <w:rFonts w:ascii="Times New Roman"/>
          <w:szCs w:val="24"/>
        </w:rPr>
      </w:pPr>
      <w:r>
        <w:rPr>
          <w:rFonts w:hint="eastAsia" w:ascii="Times New Roman"/>
          <w:szCs w:val="24"/>
        </w:rPr>
        <w:t>本文件及其所代替文件的历次版本发布情况为：</w:t>
      </w:r>
    </w:p>
    <w:p>
      <w:pPr>
        <w:pStyle w:val="17"/>
        <w:ind w:firstLine="420"/>
        <w:rPr>
          <w:rFonts w:ascii="Times New Roman"/>
          <w:szCs w:val="24"/>
        </w:rPr>
      </w:pPr>
      <w:r>
        <w:rPr>
          <w:rFonts w:hint="eastAsia" w:ascii="Times New Roman"/>
          <w:szCs w:val="24"/>
        </w:rPr>
        <w:t>——</w:t>
      </w:r>
      <w:r>
        <w:rPr>
          <w:rFonts w:ascii="Times New Roman"/>
          <w:szCs w:val="24"/>
        </w:rPr>
        <w:t>2016</w:t>
      </w:r>
      <w:r>
        <w:rPr>
          <w:rFonts w:hint="eastAsia" w:ascii="Times New Roman"/>
          <w:szCs w:val="24"/>
        </w:rPr>
        <w:t xml:space="preserve">年首次发布为DB14/T </w:t>
      </w:r>
      <w:r>
        <w:rPr>
          <w:rFonts w:ascii="Times New Roman"/>
          <w:szCs w:val="24"/>
        </w:rPr>
        <w:t>1286</w:t>
      </w:r>
      <w:r>
        <w:rPr>
          <w:rFonts w:hint="eastAsia" w:ascii="Times New Roman"/>
          <w:szCs w:val="24"/>
        </w:rPr>
        <w:t>—</w:t>
      </w:r>
      <w:r>
        <w:rPr>
          <w:rFonts w:ascii="Times New Roman"/>
          <w:szCs w:val="24"/>
        </w:rPr>
        <w:t>2016</w:t>
      </w:r>
      <w:r>
        <w:rPr>
          <w:rFonts w:hint="eastAsia" w:ascii="Times New Roman"/>
          <w:szCs w:val="24"/>
        </w:rPr>
        <w:t>；</w:t>
      </w:r>
    </w:p>
    <w:p>
      <w:pPr>
        <w:pStyle w:val="17"/>
        <w:ind w:firstLine="420"/>
        <w:rPr>
          <w:rFonts w:ascii="Times New Roman"/>
          <w:szCs w:val="24"/>
        </w:rPr>
      </w:pPr>
      <w:r>
        <w:rPr>
          <w:rFonts w:hint="eastAsia" w:ascii="Times New Roman"/>
          <w:szCs w:val="24"/>
        </w:rPr>
        <w:t>——本次为第一次修订。</w:t>
      </w:r>
    </w:p>
    <w:p>
      <w:pPr>
        <w:pStyle w:val="17"/>
        <w:ind w:firstLine="420"/>
        <w:sectPr>
          <w:pgSz w:w="11906" w:h="16838"/>
          <w:pgMar w:top="1871"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78792686F77C41AD9DE1A737EDA004AC"/>
        </w:placeholder>
      </w:sdtPr>
      <w:sdtContent>
        <w:p>
          <w:pPr>
            <w:pStyle w:val="37"/>
            <w:spacing w:before="312" w:beforeLines="100" w:after="3" w:afterLines="1"/>
          </w:pPr>
          <w:bookmarkStart w:id="26" w:name="NEW_STAND_NAME"/>
          <w:r>
            <w:rPr>
              <w:rFonts w:hint="eastAsia"/>
            </w:rPr>
            <w:t>设施蔬菜固碳生产技术规程</w:t>
          </w:r>
        </w:p>
        <w:p>
          <w:pPr>
            <w:pStyle w:val="37"/>
            <w:spacing w:before="3" w:beforeLines="1" w:after="680"/>
          </w:pPr>
          <w:r>
            <w:rPr>
              <w:rFonts w:hint="eastAsia"/>
            </w:rPr>
            <w:t>日光温室茄子</w:t>
          </w:r>
        </w:p>
      </w:sdtContent>
    </w:sdt>
    <w:bookmarkEnd w:id="26"/>
    <w:p>
      <w:pPr>
        <w:pStyle w:val="32"/>
        <w:spacing w:before="312" w:after="312"/>
      </w:pPr>
      <w:bookmarkStart w:id="27" w:name="_Toc17233333"/>
      <w:bookmarkStart w:id="28" w:name="_Toc26718930"/>
      <w:bookmarkStart w:id="29" w:name="_Toc26986530"/>
      <w:bookmarkStart w:id="30" w:name="_Toc17233325"/>
      <w:bookmarkStart w:id="31" w:name="_Toc24884211"/>
      <w:bookmarkStart w:id="32" w:name="_Toc24884218"/>
      <w:bookmarkStart w:id="33" w:name="_Toc26648465"/>
      <w:bookmarkStart w:id="34" w:name="_Toc26986771"/>
      <w:bookmarkStart w:id="35" w:name="_Toc163422196"/>
      <w:r>
        <w:rPr>
          <w:rFonts w:hint="eastAsia"/>
        </w:rPr>
        <w:t>范围</w:t>
      </w:r>
      <w:bookmarkEnd w:id="27"/>
      <w:bookmarkEnd w:id="28"/>
      <w:bookmarkEnd w:id="29"/>
      <w:bookmarkEnd w:id="30"/>
      <w:bookmarkEnd w:id="31"/>
      <w:bookmarkEnd w:id="32"/>
      <w:bookmarkEnd w:id="33"/>
      <w:bookmarkEnd w:id="34"/>
      <w:bookmarkEnd w:id="35"/>
    </w:p>
    <w:p>
      <w:pPr>
        <w:pStyle w:val="17"/>
        <w:ind w:firstLine="420"/>
      </w:pPr>
      <w:bookmarkStart w:id="36" w:name="_Toc26648466"/>
      <w:bookmarkStart w:id="37" w:name="_Toc17233326"/>
      <w:bookmarkStart w:id="38" w:name="_Toc24884219"/>
      <w:bookmarkStart w:id="39" w:name="_Toc24884212"/>
      <w:bookmarkStart w:id="40" w:name="_Toc17233334"/>
      <w:r>
        <w:t>本标准规定了日光温室茄子固碳生产的术语和定义、</w:t>
      </w:r>
      <w:r>
        <w:rPr>
          <w:rFonts w:hint="eastAsia"/>
        </w:rPr>
        <w:t>温室结构与性能、茬口安排、</w:t>
      </w:r>
      <w:r>
        <w:t>种苗、整地施肥、定植、田间管理、</w:t>
      </w:r>
      <w:r>
        <w:rPr>
          <w:rFonts w:hint="eastAsia"/>
        </w:rPr>
        <w:t>二氧化碳</w:t>
      </w:r>
      <w:r>
        <w:t>施肥</w:t>
      </w:r>
      <w:r>
        <w:rPr>
          <w:rFonts w:hint="eastAsia"/>
        </w:rPr>
        <w:t>、病虫害防治、</w:t>
      </w:r>
      <w:r>
        <w:t>采收</w:t>
      </w:r>
      <w:r>
        <w:rPr>
          <w:rFonts w:hint="eastAsia"/>
        </w:rPr>
        <w:t>及生产档案</w:t>
      </w:r>
      <w:r>
        <w:t>的</w:t>
      </w:r>
      <w:r>
        <w:rPr>
          <w:rFonts w:hint="eastAsia"/>
        </w:rPr>
        <w:t>内容</w:t>
      </w:r>
      <w:r>
        <w:t>。</w:t>
      </w:r>
    </w:p>
    <w:p>
      <w:pPr>
        <w:pStyle w:val="17"/>
        <w:ind w:firstLine="420"/>
        <w:rPr>
          <w:bCs/>
          <w:szCs w:val="21"/>
        </w:rPr>
      </w:pPr>
      <w:r>
        <w:t>本标准适用于日光温室茄子固碳生产。</w:t>
      </w:r>
    </w:p>
    <w:p>
      <w:pPr>
        <w:pStyle w:val="32"/>
        <w:spacing w:before="312" w:after="312"/>
      </w:pPr>
      <w:bookmarkStart w:id="41" w:name="_Toc26718931"/>
      <w:bookmarkStart w:id="42" w:name="_Toc26986531"/>
      <w:bookmarkStart w:id="43" w:name="_Toc26986772"/>
      <w:bookmarkStart w:id="44" w:name="_Toc163422197"/>
      <w:r>
        <w:rPr>
          <w:rFonts w:hint="eastAsia"/>
        </w:rPr>
        <w:t>规范性引用文件</w:t>
      </w:r>
      <w:bookmarkEnd w:id="36"/>
      <w:bookmarkEnd w:id="37"/>
      <w:bookmarkEnd w:id="38"/>
      <w:bookmarkEnd w:id="39"/>
      <w:bookmarkEnd w:id="40"/>
      <w:bookmarkEnd w:id="41"/>
      <w:bookmarkEnd w:id="42"/>
      <w:bookmarkEnd w:id="43"/>
      <w:bookmarkEnd w:id="44"/>
    </w:p>
    <w:sdt>
      <w:sdtPr>
        <w:rPr>
          <w:rFonts w:hint="eastAsia"/>
        </w:rPr>
        <w:id w:val="715848253"/>
        <w:placeholder>
          <w:docPart w:val="4D623D522077438E9D9D8C6B9691D6E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1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17"/>
        <w:ind w:firstLine="420"/>
      </w:pPr>
      <w:r>
        <w:t>GB 16715.3   瓜菜作物种子 第3部分：茄果类</w:t>
      </w:r>
    </w:p>
    <w:p>
      <w:pPr>
        <w:pStyle w:val="17"/>
        <w:ind w:firstLine="420"/>
      </w:pPr>
      <w:r>
        <w:t>GB/T 23416.2</w:t>
      </w:r>
      <w:r>
        <w:rPr>
          <w:rFonts w:hint="eastAsia"/>
        </w:rPr>
        <w:t xml:space="preserve">  蔬菜病虫害安全防治技术规范 第2部分：茄果类</w:t>
      </w:r>
    </w:p>
    <w:p>
      <w:pPr>
        <w:pStyle w:val="17"/>
        <w:ind w:firstLine="420"/>
      </w:pPr>
      <w:r>
        <w:t>NY/T 1894    茄子等级规格</w:t>
      </w:r>
    </w:p>
    <w:p>
      <w:pPr>
        <w:pStyle w:val="17"/>
        <w:ind w:firstLine="420"/>
      </w:pPr>
      <w:r>
        <w:t>DB14/T 819   日光温室越冬茬果菜类蔬菜水肥一体化技术规程</w:t>
      </w:r>
    </w:p>
    <w:p>
      <w:pPr>
        <w:pStyle w:val="17"/>
        <w:ind w:firstLine="420"/>
      </w:pPr>
      <w:r>
        <w:rPr>
          <w:rFonts w:hint="eastAsia"/>
        </w:rPr>
        <w:t>DB14/T 1281  设施蔬菜固碳生产技术规程 果菜类蔬菜育苗</w:t>
      </w:r>
    </w:p>
    <w:p>
      <w:pPr>
        <w:pStyle w:val="17"/>
        <w:ind w:firstLine="420"/>
      </w:pPr>
      <w:r>
        <w:rPr>
          <w:rFonts w:hint="eastAsia"/>
        </w:rPr>
        <w:t>DB14/T 1287  设施蔬菜固碳生产技术规程 日光温室结构与性能要求</w:t>
      </w:r>
    </w:p>
    <w:p>
      <w:pPr>
        <w:pStyle w:val="17"/>
        <w:ind w:firstLine="420"/>
      </w:pPr>
      <w:r>
        <w:rPr>
          <w:rFonts w:hint="eastAsia"/>
        </w:rPr>
        <w:t>DB14/T 1288  设施蔬菜二氧化碳施肥技术规程</w:t>
      </w:r>
    </w:p>
    <w:p>
      <w:pPr>
        <w:pStyle w:val="32"/>
        <w:spacing w:before="312" w:after="312"/>
      </w:pPr>
      <w:bookmarkStart w:id="45" w:name="_Toc163422198"/>
      <w:r>
        <w:rPr>
          <w:rFonts w:hint="eastAsia"/>
          <w:szCs w:val="21"/>
        </w:rPr>
        <w:t>术语和定义</w:t>
      </w:r>
      <w:bookmarkEnd w:id="45"/>
    </w:p>
    <w:sdt>
      <w:sdtPr>
        <w:id w:val="-1909835108"/>
        <w:placeholder>
          <w:docPart w:val="CC4B813CA16747318D3C98640B317E1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17"/>
            <w:ind w:firstLine="420"/>
          </w:pPr>
          <w:bookmarkStart w:id="46" w:name="_Toc26986532"/>
          <w:bookmarkEnd w:id="46"/>
          <w:r>
            <w:t>下列术语和定义适用于本文件。</w:t>
          </w:r>
        </w:p>
      </w:sdtContent>
    </w:sdt>
    <w:p>
      <w:pPr>
        <w:pStyle w:val="51"/>
        <w:numPr>
          <w:ilvl w:val="2"/>
          <w:numId w:val="1"/>
        </w:numPr>
        <w:ind w:left="420" w:hanging="420" w:hangingChars="200"/>
        <w:rPr>
          <w:rFonts w:ascii="黑体" w:hAnsi="黑体" w:eastAsia="黑体"/>
        </w:rPr>
      </w:pPr>
      <w:r>
        <w:rPr>
          <w:rFonts w:ascii="黑体" w:hAnsi="黑体" w:eastAsia="黑体"/>
        </w:rPr>
        <w:br w:type="textWrapping"/>
      </w:r>
      <w:r>
        <w:rPr>
          <w:rFonts w:ascii="黑体" w:hAnsi="黑体" w:eastAsia="黑体"/>
        </w:rPr>
        <w:t>固碳生产</w:t>
      </w:r>
    </w:p>
    <w:p>
      <w:pPr>
        <w:pStyle w:val="17"/>
        <w:ind w:firstLine="420"/>
      </w:pPr>
      <w:r>
        <w:t>在设施蔬菜生产中，通过优化设施环境，</w:t>
      </w:r>
      <w:r>
        <w:rPr>
          <w:rFonts w:hint="eastAsia"/>
        </w:rPr>
        <w:t>收集工业废气中的</w:t>
      </w:r>
      <w:r>
        <w:t>CO</w:t>
      </w:r>
      <w:r>
        <w:rPr>
          <w:vertAlign w:val="subscript"/>
        </w:rPr>
        <w:t>2</w:t>
      </w:r>
      <w:r>
        <w:rPr>
          <w:rFonts w:hint="eastAsia"/>
        </w:rPr>
        <w:t>并进行贮存，</w:t>
      </w:r>
      <w:r>
        <w:t>控制CO</w:t>
      </w:r>
      <w:r>
        <w:rPr>
          <w:vertAlign w:val="subscript"/>
        </w:rPr>
        <w:t>2</w:t>
      </w:r>
      <w:r>
        <w:t>施用浓度，调节CO</w:t>
      </w:r>
      <w:r>
        <w:rPr>
          <w:vertAlign w:val="subscript"/>
        </w:rPr>
        <w:t>2</w:t>
      </w:r>
      <w:r>
        <w:t>释放时间，配套相应的栽培管理措施，充分挖掘设施蔬菜固碳效率和增产潜力，从而达到设施蔬菜优质高产</w:t>
      </w:r>
      <w:r>
        <w:rPr>
          <w:rFonts w:hint="eastAsia"/>
        </w:rPr>
        <w:t>高效益</w:t>
      </w:r>
      <w:r>
        <w:t>的一种生产模式。</w:t>
      </w:r>
    </w:p>
    <w:p>
      <w:pPr>
        <w:pStyle w:val="51"/>
        <w:numPr>
          <w:ilvl w:val="2"/>
          <w:numId w:val="1"/>
        </w:numPr>
        <w:ind w:left="420" w:hanging="420" w:hangingChars="200"/>
        <w:rPr>
          <w:rFonts w:ascii="黑体" w:hAnsi="黑体" w:eastAsia="黑体"/>
        </w:rPr>
      </w:pPr>
      <w:r>
        <w:rPr>
          <w:rFonts w:ascii="黑体" w:hAnsi="黑体" w:eastAsia="黑体"/>
        </w:rPr>
        <w:br w:type="textWrapping"/>
      </w:r>
      <w:r>
        <w:rPr>
          <w:rFonts w:ascii="黑体" w:hAnsi="黑体" w:eastAsia="黑体"/>
        </w:rPr>
        <w:t>双杆整枝法</w:t>
      </w:r>
    </w:p>
    <w:p>
      <w:pPr>
        <w:pStyle w:val="17"/>
        <w:ind w:firstLine="420"/>
      </w:pPr>
      <w:r>
        <w:t>双杆整枝是将第一次分杈下的侧枝全部抹掉，只保留第一次分杈时分出的两条侧枝，以后每条侧枝上再长出的分枝全部打掉，最后形成两条枝条生长结果的整枝方式。</w:t>
      </w:r>
    </w:p>
    <w:p>
      <w:pPr>
        <w:pStyle w:val="32"/>
        <w:spacing w:before="312" w:after="312"/>
      </w:pPr>
      <w:bookmarkStart w:id="47" w:name="_Toc163422199"/>
      <w:r>
        <w:rPr>
          <w:rFonts w:hint="eastAsia"/>
        </w:rPr>
        <w:t>温室结构与性能</w:t>
      </w:r>
      <w:bookmarkEnd w:id="47"/>
    </w:p>
    <w:p>
      <w:pPr>
        <w:pStyle w:val="17"/>
        <w:ind w:firstLine="420"/>
      </w:pPr>
      <w:r>
        <w:rPr>
          <w:rFonts w:hint="eastAsia"/>
        </w:rPr>
        <w:t>温室结构与性能符合DB14/T 1287要求。膜无破损，密闭性好，白天最高气温不高于35</w:t>
      </w:r>
      <w:bookmarkStart w:id="74" w:name="_GoBack"/>
      <w:r>
        <w:rPr>
          <w:rFonts w:hint="eastAsia"/>
        </w:rPr>
        <w:t xml:space="preserve"> ℃</w:t>
      </w:r>
      <w:bookmarkEnd w:id="74"/>
      <w:r>
        <w:rPr>
          <w:rFonts w:hint="eastAsia"/>
        </w:rPr>
        <w:t>，夜间最低气温不低于10 ℃，室内10 cm土层的最低温度不低于12 ℃；光照时数不少于6 h；植株顶部水平光照强度不低于5 000 lx，室内光照分布均匀；空气相对湿度为80%～90%，土壤湿度为田间最大持水量的70%～90%。</w:t>
      </w:r>
    </w:p>
    <w:p>
      <w:pPr>
        <w:pStyle w:val="32"/>
        <w:spacing w:before="312" w:after="312"/>
      </w:pPr>
      <w:bookmarkStart w:id="48" w:name="_Toc163422200"/>
      <w:bookmarkStart w:id="49" w:name="_Toc468985193"/>
      <w:r>
        <w:rPr>
          <w:rFonts w:hint="eastAsia"/>
        </w:rPr>
        <w:t>茬口安排</w:t>
      </w:r>
      <w:bookmarkEnd w:id="48"/>
      <w:bookmarkEnd w:id="49"/>
    </w:p>
    <w:p>
      <w:pPr>
        <w:pStyle w:val="17"/>
        <w:ind w:firstLine="420"/>
      </w:pPr>
      <w:r>
        <w:rPr>
          <w:rFonts w:hint="eastAsia"/>
        </w:rPr>
        <w:t>秋冬茬7月中下旬播种，9月中下旬定植，12月中旬至翌年1月中旬开始采收；冬春茬9月下旬到10月中旬播种，11月中下旬定植，翌年1月中旬至2月中旬开始采收；早春茬10月下旬至11月上旬播种，1月下旬至2月上旬定植，翌年3月下旬至4月上旬开始采收。</w:t>
      </w:r>
    </w:p>
    <w:p>
      <w:pPr>
        <w:pStyle w:val="32"/>
        <w:spacing w:before="312" w:after="312"/>
      </w:pPr>
      <w:bookmarkStart w:id="50" w:name="_Toc469041315"/>
      <w:bookmarkStart w:id="51" w:name="_Toc468996921"/>
      <w:bookmarkStart w:id="52" w:name="_Toc163422201"/>
      <w:bookmarkStart w:id="53" w:name="_Toc468996897"/>
      <w:r>
        <w:t>种苗</w:t>
      </w:r>
      <w:bookmarkEnd w:id="50"/>
      <w:bookmarkEnd w:id="51"/>
      <w:bookmarkEnd w:id="52"/>
      <w:bookmarkEnd w:id="53"/>
    </w:p>
    <w:p>
      <w:pPr>
        <w:pStyle w:val="33"/>
        <w:spacing w:before="156" w:after="156"/>
      </w:pPr>
      <w:r>
        <w:t>品种选择</w:t>
      </w:r>
    </w:p>
    <w:p>
      <w:pPr>
        <w:pStyle w:val="17"/>
        <w:ind w:firstLine="420"/>
      </w:pPr>
      <w:r>
        <w:t>选用植株长势旺盛，</w:t>
      </w:r>
      <w:r>
        <w:rPr>
          <w:rFonts w:hint="eastAsia"/>
        </w:rPr>
        <w:t>叶片舒展肥厚、叶面积大，</w:t>
      </w:r>
      <w:r>
        <w:t>固碳能力强，耐低温弱光、抗病、耐贮运、商品性好的品种，种子质量符合GB 16715.3中二级以上要求。</w:t>
      </w:r>
    </w:p>
    <w:p>
      <w:pPr>
        <w:pStyle w:val="33"/>
        <w:spacing w:before="156" w:after="156"/>
      </w:pPr>
      <w:r>
        <w:t>育苗</w:t>
      </w:r>
    </w:p>
    <w:p>
      <w:pPr>
        <w:pStyle w:val="17"/>
        <w:ind w:firstLine="420"/>
      </w:pPr>
      <w:r>
        <w:t>采用穴盘工厂化育苗，播种时间按照各茬口计划进行。</w:t>
      </w:r>
      <w:r>
        <w:rPr>
          <w:rFonts w:hint="eastAsia"/>
        </w:rPr>
        <w:t>苗期固碳生产技术执行DB14/T 1281规定。</w:t>
      </w:r>
    </w:p>
    <w:p>
      <w:pPr>
        <w:pStyle w:val="33"/>
        <w:spacing w:before="156" w:after="156"/>
      </w:pPr>
      <w:r>
        <w:t>壮苗指标</w:t>
      </w:r>
    </w:p>
    <w:p>
      <w:pPr>
        <w:pStyle w:val="17"/>
        <w:ind w:firstLine="420"/>
        <w:rPr>
          <w:rFonts w:eastAsia="黑体"/>
        </w:rPr>
      </w:pPr>
      <w:r>
        <w:t>株高15 cm左右，茎粗0.6 cm以上，6～8片叶，叶片肥厚，叶色浓绿，节间短，无病虫害、无机械损伤的嫁接苗。</w:t>
      </w:r>
    </w:p>
    <w:p>
      <w:pPr>
        <w:pStyle w:val="32"/>
        <w:spacing w:before="312" w:after="312"/>
      </w:pPr>
      <w:bookmarkStart w:id="54" w:name="_Toc163422202"/>
      <w:bookmarkStart w:id="55" w:name="_Toc469041316"/>
      <w:r>
        <w:t>整地施肥</w:t>
      </w:r>
      <w:bookmarkEnd w:id="54"/>
      <w:bookmarkEnd w:id="55"/>
    </w:p>
    <w:p>
      <w:pPr>
        <w:pStyle w:val="17"/>
        <w:ind w:firstLine="420"/>
      </w:pPr>
      <w:r>
        <w:t>每667 m</w:t>
      </w:r>
      <w:r>
        <w:rPr>
          <w:vertAlign w:val="superscript"/>
        </w:rPr>
        <w:t>2</w:t>
      </w:r>
      <w:r>
        <w:t>施腐熟</w:t>
      </w:r>
      <w:r>
        <w:rPr>
          <w:color w:val="1E1E1E"/>
          <w:szCs w:val="21"/>
        </w:rPr>
        <w:t>有机肥4 000 kg～5 000 kg、磷酸二铵</w:t>
      </w:r>
      <w:r>
        <w:rPr>
          <w:color w:val="000000"/>
          <w:szCs w:val="21"/>
        </w:rPr>
        <w:t>50 kg、</w:t>
      </w:r>
      <w:r>
        <w:rPr>
          <w:color w:val="1E1E1E"/>
          <w:szCs w:val="21"/>
        </w:rPr>
        <w:t>硫酸钾20 kg，</w:t>
      </w:r>
      <w:r>
        <w:rPr>
          <w:color w:val="000000"/>
          <w:szCs w:val="21"/>
        </w:rPr>
        <w:t>撒施后</w:t>
      </w:r>
      <w:r>
        <w:t>深翻30 cm</w:t>
      </w:r>
      <w:r>
        <w:rPr>
          <w:color w:val="1E1E1E"/>
          <w:szCs w:val="21"/>
        </w:rPr>
        <w:t>～</w:t>
      </w:r>
      <w:r>
        <w:t>40 cm，耙平。</w:t>
      </w:r>
      <w:r>
        <w:rPr>
          <w:rFonts w:hint="eastAsia"/>
        </w:rPr>
        <w:t>延日光温室长度方向</w:t>
      </w:r>
      <w:r>
        <w:t>做高畦，畦宽70 cm，高10 cm～15 cm</w:t>
      </w:r>
      <w:r>
        <w:rPr>
          <w:rFonts w:hint="eastAsia"/>
        </w:rPr>
        <w:t>，作业道宽100 cm。</w:t>
      </w:r>
      <w:r>
        <w:t>距高畦边10 cm处铺设两道滴灌软管，覆膜。</w:t>
      </w:r>
    </w:p>
    <w:p>
      <w:pPr>
        <w:pStyle w:val="32"/>
        <w:spacing w:before="312" w:after="312"/>
      </w:pPr>
      <w:bookmarkStart w:id="56" w:name="_Toc469041317"/>
      <w:bookmarkStart w:id="57" w:name="_Toc163422203"/>
      <w:r>
        <w:t>定植</w:t>
      </w:r>
      <w:bookmarkEnd w:id="56"/>
      <w:bookmarkEnd w:id="57"/>
    </w:p>
    <w:p>
      <w:pPr>
        <w:pStyle w:val="33"/>
        <w:spacing w:before="156" w:after="156"/>
      </w:pPr>
      <w:r>
        <w:t>定植时间</w:t>
      </w:r>
    </w:p>
    <w:p>
      <w:pPr>
        <w:pStyle w:val="17"/>
        <w:ind w:firstLine="420"/>
      </w:pPr>
      <w:bookmarkStart w:id="58" w:name="_Toc263862060"/>
      <w:r>
        <w:t>根据不同的茬口安排，选择适宜的定植时间。秋冬茬定植时间为9月中下旬，冬春茬定植时间为11月中下旬，早春茬定植时间为1月下旬至2月上旬。</w:t>
      </w:r>
    </w:p>
    <w:p>
      <w:pPr>
        <w:pStyle w:val="33"/>
        <w:spacing w:before="156" w:after="156"/>
      </w:pPr>
      <w:r>
        <w:t>定植密度</w:t>
      </w:r>
    </w:p>
    <w:bookmarkEnd w:id="58"/>
    <w:p>
      <w:pPr>
        <w:pStyle w:val="17"/>
        <w:ind w:firstLine="420"/>
      </w:pPr>
      <w:r>
        <w:t>根据品种特性及茬口确定种植密度，采用宽</w:t>
      </w:r>
      <w:r>
        <w:rPr>
          <w:rFonts w:hint="eastAsia"/>
        </w:rPr>
        <w:t>沟窄垄</w:t>
      </w:r>
      <w:r>
        <w:t>定植，</w:t>
      </w:r>
      <w:r>
        <w:rPr>
          <w:rFonts w:hint="eastAsia"/>
        </w:rPr>
        <w:t>方便机械化作业，</w:t>
      </w:r>
      <w:r>
        <w:t>宽行</w:t>
      </w:r>
      <w:r>
        <w:rPr>
          <w:rFonts w:hint="eastAsia"/>
        </w:rPr>
        <w:t>12</w:t>
      </w:r>
      <w:r>
        <w:t>0 cm，窄行50 cm，株距45 cm</w:t>
      </w:r>
      <w:r>
        <w:rPr>
          <w:color w:val="1E1E1E"/>
        </w:rPr>
        <w:t xml:space="preserve">～55 </w:t>
      </w:r>
      <w:r>
        <w:t>cm。嫁接苗株距要适当加大，株距50 cm</w:t>
      </w:r>
      <w:r>
        <w:rPr>
          <w:color w:val="1E1E1E"/>
        </w:rPr>
        <w:t>～</w:t>
      </w:r>
      <w:r>
        <w:t>60 cm。</w:t>
      </w:r>
    </w:p>
    <w:p>
      <w:pPr>
        <w:pStyle w:val="33"/>
        <w:spacing w:before="156" w:after="156"/>
      </w:pPr>
      <w:r>
        <w:t>定植方法</w:t>
      </w:r>
    </w:p>
    <w:p>
      <w:pPr>
        <w:pStyle w:val="17"/>
        <w:ind w:firstLine="420"/>
      </w:pPr>
      <w:r>
        <w:t>先在膜上打孔，苗</w:t>
      </w:r>
      <w:r>
        <w:rPr>
          <w:rFonts w:hint="eastAsia"/>
        </w:rPr>
        <w:t>陀</w:t>
      </w:r>
      <w:r>
        <w:t>低于垄面1 cm左右，将苗固定，定植后及时浇定植水。</w:t>
      </w:r>
    </w:p>
    <w:p>
      <w:pPr>
        <w:pStyle w:val="32"/>
        <w:spacing w:before="312" w:after="312"/>
      </w:pPr>
      <w:bookmarkStart w:id="59" w:name="_Toc469041318"/>
      <w:bookmarkStart w:id="60" w:name="_Toc163422204"/>
      <w:r>
        <w:t>田间管理</w:t>
      </w:r>
      <w:bookmarkEnd w:id="59"/>
      <w:bookmarkEnd w:id="60"/>
    </w:p>
    <w:p>
      <w:pPr>
        <w:pStyle w:val="33"/>
        <w:spacing w:before="156" w:after="156"/>
      </w:pPr>
      <w:r>
        <w:t>温度</w:t>
      </w:r>
      <w:r>
        <w:rPr>
          <w:rFonts w:hint="eastAsia"/>
        </w:rPr>
        <w:t>管理</w:t>
      </w:r>
    </w:p>
    <w:p>
      <w:pPr>
        <w:pStyle w:val="17"/>
        <w:ind w:firstLine="420"/>
      </w:pPr>
      <w:r>
        <w:t>缓苗期白天温度控制</w:t>
      </w:r>
      <w:r>
        <w:rPr>
          <w:rFonts w:hAnsi="宋体"/>
        </w:rPr>
        <w:t>在25</w:t>
      </w:r>
      <w:bookmarkStart w:id="61" w:name="_Hlk164428248"/>
      <w:r>
        <w:rPr>
          <w:rFonts w:hAnsi="宋体"/>
        </w:rPr>
        <w:t xml:space="preserve"> ℃</w:t>
      </w:r>
      <w:bookmarkEnd w:id="61"/>
      <w:r>
        <w:rPr>
          <w:rFonts w:hAnsi="宋体"/>
        </w:rPr>
        <w:t>～32 ℃，夜间保持在15 ℃～18 ℃。5～7天后心叶展开，白天25 ℃～30 ℃，夜间12 ℃～15 ℃，揭帘前不低于10 ℃。结果期以后，白天保持28 ℃～30 ℃，夜间13 ℃～15 ℃。极端低温天气，</w:t>
      </w:r>
      <w:r>
        <w:t>辅助加温。</w:t>
      </w:r>
    </w:p>
    <w:p>
      <w:pPr>
        <w:pStyle w:val="33"/>
        <w:spacing w:before="156" w:after="156"/>
      </w:pPr>
      <w:r>
        <w:t>光照</w:t>
      </w:r>
      <w:r>
        <w:rPr>
          <w:rFonts w:hint="eastAsia"/>
        </w:rPr>
        <w:t>调控</w:t>
      </w:r>
    </w:p>
    <w:p>
      <w:pPr>
        <w:pStyle w:val="17"/>
        <w:ind w:firstLine="420"/>
      </w:pPr>
      <w:r>
        <w:t>采用透光性好的无滴膜，保持膜面清洁。白天揭开保温覆盖物，尽量增加光照强度和时间。在阴、雨、雪天气，可进行人工补光。</w:t>
      </w:r>
    </w:p>
    <w:p>
      <w:pPr>
        <w:pStyle w:val="33"/>
        <w:spacing w:before="156" w:after="156"/>
      </w:pPr>
      <w:r>
        <w:t>湿度</w:t>
      </w:r>
      <w:r>
        <w:rPr>
          <w:rFonts w:hint="eastAsia"/>
        </w:rPr>
        <w:t>调节</w:t>
      </w:r>
    </w:p>
    <w:p>
      <w:pPr>
        <w:pStyle w:val="17"/>
        <w:ind w:firstLine="420"/>
      </w:pPr>
      <w:r>
        <w:t>缓苗期空气相对湿度80%～90%，开花坐果期60%～70%，结果期50%～60%。</w:t>
      </w:r>
    </w:p>
    <w:p>
      <w:pPr>
        <w:pStyle w:val="33"/>
        <w:spacing w:before="156" w:after="156"/>
      </w:pPr>
      <w:r>
        <w:t>水肥管理</w:t>
      </w:r>
    </w:p>
    <w:p>
      <w:pPr>
        <w:pStyle w:val="17"/>
        <w:ind w:firstLine="420"/>
      </w:pPr>
      <w:r>
        <w:t>定植后浇足底水，缓苗期可不浇水，土壤相对湿度应保持在60%～75%。</w:t>
      </w:r>
      <w:r>
        <w:rPr>
          <w:color w:val="1E1E1E"/>
          <w:szCs w:val="21"/>
        </w:rPr>
        <w:t>门茄坐果后到盛果期，每</w:t>
      </w:r>
      <w:r>
        <w:t>亩</w:t>
      </w:r>
      <w:r>
        <w:rPr>
          <w:color w:val="1E1E1E"/>
          <w:szCs w:val="21"/>
        </w:rPr>
        <w:t>每次随水滴施</w:t>
      </w:r>
      <w:r>
        <w:t>N-P-K水溶性复合肥3 kg～5 kg，</w:t>
      </w:r>
      <w:r>
        <w:rPr>
          <w:color w:val="1E1E1E"/>
          <w:szCs w:val="21"/>
        </w:rPr>
        <w:t>每周追肥一次</w:t>
      </w:r>
      <w:r>
        <w:t>。</w:t>
      </w:r>
      <w:r>
        <w:rPr>
          <w:color w:val="1E1E1E"/>
          <w:szCs w:val="21"/>
        </w:rPr>
        <w:t>滴肥时间应在滴水开始后1 h和滴水结束前30 min。</w:t>
      </w:r>
      <w:r>
        <w:rPr>
          <w:rFonts w:hint="eastAsia"/>
        </w:rPr>
        <w:t>符合</w:t>
      </w:r>
      <w:r>
        <w:t>DB14/T 819</w:t>
      </w:r>
      <w:r>
        <w:rPr>
          <w:rFonts w:hint="eastAsia"/>
        </w:rPr>
        <w:t>的要求</w:t>
      </w:r>
      <w:r>
        <w:t>。</w:t>
      </w:r>
    </w:p>
    <w:p>
      <w:pPr>
        <w:pStyle w:val="33"/>
        <w:spacing w:before="156" w:after="156"/>
      </w:pPr>
      <w:r>
        <w:t>植株调整</w:t>
      </w:r>
    </w:p>
    <w:p>
      <w:pPr>
        <w:pStyle w:val="17"/>
        <w:ind w:firstLine="420"/>
      </w:pPr>
      <w:r>
        <w:t>采用双杆整枝法。对茄</w:t>
      </w:r>
      <w:r>
        <w:rPr>
          <w:color w:val="1E1E1E"/>
          <w:szCs w:val="21"/>
        </w:rPr>
        <w:t>坐</w:t>
      </w:r>
      <w:r>
        <w:t>果时摘除门茄。在整个生长过程中，及时摘除幼果残留的花瓣、柱头、下部黄叶、病叶、老叶、畸形果、僵果和病果。</w:t>
      </w:r>
    </w:p>
    <w:p>
      <w:pPr>
        <w:pStyle w:val="32"/>
        <w:spacing w:before="312" w:after="312"/>
      </w:pPr>
      <w:bookmarkStart w:id="62" w:name="_Toc163422205"/>
      <w:bookmarkStart w:id="63" w:name="_Toc469041319"/>
      <w:r>
        <w:rPr>
          <w:rFonts w:hint="eastAsia"/>
        </w:rPr>
        <w:t>二氧化碳</w:t>
      </w:r>
      <w:r>
        <w:t>施肥</w:t>
      </w:r>
      <w:bookmarkEnd w:id="62"/>
      <w:bookmarkEnd w:id="63"/>
    </w:p>
    <w:p>
      <w:pPr>
        <w:pStyle w:val="33"/>
        <w:spacing w:before="156" w:after="156"/>
      </w:pPr>
      <w:r>
        <w:rPr>
          <w:rFonts w:hint="eastAsia"/>
        </w:rPr>
        <w:t>施肥</w:t>
      </w:r>
      <w:r>
        <w:t>时间</w:t>
      </w:r>
    </w:p>
    <w:p>
      <w:pPr>
        <w:pStyle w:val="17"/>
        <w:ind w:firstLine="420"/>
      </w:pPr>
      <w:r>
        <w:rPr>
          <w:rFonts w:hint="eastAsia"/>
        </w:rPr>
        <w:t>缓苗后开始施用，当温室内CO</w:t>
      </w:r>
      <w:r>
        <w:rPr>
          <w:rFonts w:hint="eastAsia"/>
          <w:vertAlign w:val="subscript"/>
        </w:rPr>
        <w:t>2</w:t>
      </w:r>
      <w:r>
        <w:rPr>
          <w:rFonts w:hint="eastAsia"/>
        </w:rPr>
        <w:t>浓度低于大气浓度时，生长初期施用1.5 h，生长盛期施用2 h；当室内温度达到28 ℃且室内CO</w:t>
      </w:r>
      <w:r>
        <w:rPr>
          <w:rFonts w:hint="eastAsia"/>
          <w:vertAlign w:val="subscript"/>
        </w:rPr>
        <w:t>2</w:t>
      </w:r>
      <w:r>
        <w:rPr>
          <w:rFonts w:hint="eastAsia"/>
        </w:rPr>
        <w:t>浓度低于大气浓度时，根据需要适当打开通风口，温室通风前0.5 h~1 h停止施用；晴天提早施用，阴天推迟施用，雨雪天不施用。</w:t>
      </w:r>
    </w:p>
    <w:p>
      <w:pPr>
        <w:pStyle w:val="33"/>
        <w:spacing w:before="156" w:after="156"/>
      </w:pPr>
      <w:r>
        <w:rPr>
          <w:rFonts w:hint="eastAsia"/>
        </w:rPr>
        <w:t>施肥</w:t>
      </w:r>
      <w:r>
        <w:t>方法</w:t>
      </w:r>
    </w:p>
    <w:p>
      <w:pPr>
        <w:pStyle w:val="17"/>
        <w:ind w:firstLine="420"/>
      </w:pPr>
      <w:r>
        <w:rPr>
          <w:rFonts w:hint="eastAsia"/>
        </w:rPr>
        <w:t>具体操作执行DB14/T 1288的规定。</w:t>
      </w:r>
    </w:p>
    <w:p>
      <w:pPr>
        <w:pStyle w:val="33"/>
        <w:spacing w:before="156" w:after="156"/>
      </w:pPr>
      <w:r>
        <w:rPr>
          <w:rFonts w:hint="eastAsia"/>
        </w:rPr>
        <w:t>施肥浓度</w:t>
      </w:r>
    </w:p>
    <w:p>
      <w:pPr>
        <w:pStyle w:val="17"/>
        <w:ind w:firstLine="420"/>
      </w:pPr>
      <w:r>
        <w:rPr>
          <w:szCs w:val="21"/>
        </w:rPr>
        <w:t>茄子</w:t>
      </w:r>
      <w:r>
        <w:t>缓苗后CO</w:t>
      </w:r>
      <w:r>
        <w:rPr>
          <w:vertAlign w:val="subscript"/>
        </w:rPr>
        <w:t>2</w:t>
      </w:r>
      <w:r>
        <w:t>浓度控制在600</w:t>
      </w:r>
      <w:r>
        <w:rPr>
          <w:rFonts w:hint="eastAsia"/>
          <w:kern w:val="2"/>
          <w:szCs w:val="22"/>
        </w:rPr>
        <w:t xml:space="preserve"> mg/L</w:t>
      </w:r>
      <w:r>
        <w:t xml:space="preserve">～800 </w:t>
      </w:r>
      <w:r>
        <w:rPr>
          <w:rFonts w:hint="eastAsia"/>
          <w:kern w:val="2"/>
          <w:szCs w:val="22"/>
        </w:rPr>
        <w:t>mg/L</w:t>
      </w:r>
      <w:r>
        <w:t>，开花结果期，CO</w:t>
      </w:r>
      <w:r>
        <w:rPr>
          <w:vertAlign w:val="subscript"/>
        </w:rPr>
        <w:t>2</w:t>
      </w:r>
      <w:r>
        <w:t>浓度控制在800</w:t>
      </w:r>
      <w:r>
        <w:rPr>
          <w:rFonts w:hint="eastAsia"/>
          <w:kern w:val="2"/>
          <w:szCs w:val="22"/>
        </w:rPr>
        <w:t xml:space="preserve"> mg/L</w:t>
      </w:r>
      <w:r>
        <w:t xml:space="preserve">～1 000 </w:t>
      </w:r>
      <w:r>
        <w:rPr>
          <w:rFonts w:hint="eastAsia"/>
          <w:kern w:val="2"/>
          <w:szCs w:val="22"/>
        </w:rPr>
        <w:t>mg/L</w:t>
      </w:r>
      <w:r>
        <w:t>；阴天和低温天减少施放浓度，雨雪天停止施放。</w:t>
      </w:r>
    </w:p>
    <w:p>
      <w:pPr>
        <w:pStyle w:val="32"/>
        <w:spacing w:before="312" w:after="312"/>
      </w:pPr>
      <w:bookmarkStart w:id="64" w:name="_Toc163422206"/>
      <w:r>
        <w:rPr>
          <w:rFonts w:hint="eastAsia"/>
        </w:rPr>
        <w:t>病虫害防治</w:t>
      </w:r>
      <w:bookmarkEnd w:id="64"/>
    </w:p>
    <w:p>
      <w:pPr>
        <w:pStyle w:val="17"/>
        <w:ind w:firstLine="420"/>
      </w:pPr>
      <w:r>
        <w:rPr>
          <w:rFonts w:hint="eastAsia"/>
        </w:rPr>
        <w:t>具体防治措施执行</w:t>
      </w:r>
      <w:r>
        <w:t>GB/T 23416.2</w:t>
      </w:r>
      <w:r>
        <w:rPr>
          <w:rFonts w:hint="eastAsia"/>
        </w:rPr>
        <w:t>的规定。</w:t>
      </w:r>
    </w:p>
    <w:p>
      <w:pPr>
        <w:pStyle w:val="32"/>
        <w:spacing w:before="312" w:after="312"/>
      </w:pPr>
      <w:bookmarkStart w:id="65" w:name="_Toc469041320"/>
      <w:bookmarkStart w:id="66" w:name="_Toc163422207"/>
      <w:bookmarkStart w:id="67" w:name="_Toc370809715"/>
      <w:bookmarkStart w:id="68" w:name="_Toc370809542"/>
      <w:r>
        <w:t>采收</w:t>
      </w:r>
      <w:bookmarkEnd w:id="65"/>
      <w:bookmarkEnd w:id="66"/>
    </w:p>
    <w:p>
      <w:pPr>
        <w:pStyle w:val="17"/>
        <w:ind w:firstLine="420"/>
      </w:pPr>
      <w:r>
        <w:rPr>
          <w:color w:val="1E1E1E"/>
        </w:rPr>
        <w:t>待茄子果实膨大，符合</w:t>
      </w:r>
      <w:r>
        <w:t>NY/T 1894茄子等级规格</w:t>
      </w:r>
      <w:r>
        <w:rPr>
          <w:color w:val="1E1E1E"/>
        </w:rPr>
        <w:t>时，及时采收</w:t>
      </w:r>
      <w:bookmarkEnd w:id="67"/>
      <w:bookmarkEnd w:id="68"/>
      <w:r>
        <w:t>。</w:t>
      </w:r>
    </w:p>
    <w:p>
      <w:pPr>
        <w:pStyle w:val="32"/>
        <w:spacing w:before="312" w:after="312"/>
      </w:pPr>
      <w:bookmarkStart w:id="69" w:name="_Toc469041321"/>
      <w:bookmarkStart w:id="70" w:name="_Toc163422208"/>
      <w:r>
        <w:t>生产档案</w:t>
      </w:r>
      <w:bookmarkEnd w:id="69"/>
      <w:bookmarkEnd w:id="70"/>
    </w:p>
    <w:p>
      <w:pPr>
        <w:pStyle w:val="17"/>
        <w:ind w:firstLine="420"/>
      </w:pPr>
      <w:r>
        <w:rPr>
          <w:rFonts w:hint="eastAsia"/>
          <w:lang w:bidi="ar"/>
        </w:rPr>
        <w:t>建立生产档案。对田间管理、</w:t>
      </w:r>
      <w:r>
        <w:t>CO</w:t>
      </w:r>
      <w:r>
        <w:rPr>
          <w:vertAlign w:val="subscript"/>
        </w:rPr>
        <w:t>2</w:t>
      </w:r>
      <w:r>
        <w:t>施肥</w:t>
      </w:r>
      <w:r>
        <w:rPr>
          <w:rFonts w:hint="eastAsia"/>
          <w:lang w:bidi="ar"/>
        </w:rPr>
        <w:t>及采收等各环节所采取的一系列具体措施进行详细记录</w:t>
      </w:r>
      <w:r>
        <w:rPr>
          <w:rFonts w:hint="eastAsia" w:ascii="宋体" w:hAnsi="宋体" w:eastAsia="宋体" w:cs="宋体"/>
          <w:b w:val="0"/>
          <w:bCs w:val="0"/>
          <w:color w:val="000000"/>
          <w:sz w:val="21"/>
          <w:szCs w:val="21"/>
        </w:rPr>
        <w:t>, 生产档案记录表见附录A。</w:t>
      </w:r>
      <w:r>
        <w:rPr>
          <w:rFonts w:ascii="宋体" w:hAnsi="宋体" w:eastAsia="宋体" w:cs="宋体"/>
          <w:b w:val="0"/>
          <w:bCs w:val="0"/>
          <w:color w:val="000000"/>
          <w:sz w:val="20"/>
          <w:szCs w:val="20"/>
        </w:rPr>
        <w:t>档案保存2年以上。</w:t>
      </w:r>
    </w:p>
    <w:p>
      <w:pPr>
        <w:pStyle w:val="17"/>
        <w:ind w:firstLine="420"/>
      </w:pPr>
    </w:p>
    <w:p>
      <w:pPr>
        <w:pStyle w:val="17"/>
        <w:ind w:firstLine="420"/>
      </w:pPr>
    </w:p>
    <w:p>
      <w:pPr>
        <w:pStyle w:val="17"/>
        <w:ind w:firstLine="420"/>
      </w:pPr>
    </w:p>
    <w:p>
      <w:pPr>
        <w:pStyle w:val="17"/>
        <w:ind w:firstLine="420"/>
        <w:sectPr>
          <w:pgSz w:w="11906" w:h="16838"/>
          <w:pgMar w:top="1871" w:right="1134" w:bottom="1134" w:left="1134" w:header="1418" w:footer="1134" w:gutter="284"/>
          <w:pgNumType w:start="1"/>
          <w:cols w:space="425" w:num="1"/>
          <w:formProt w:val="0"/>
          <w:docGrid w:type="lines" w:linePitch="312" w:charSpace="0"/>
        </w:sectPr>
      </w:pPr>
    </w:p>
    <w:bookmarkEnd w:id="25"/>
    <w:p>
      <w:pPr>
        <w:pStyle w:val="44"/>
        <w:tabs>
          <w:tab w:val="clear" w:pos="360"/>
        </w:tabs>
        <w:ind w:left="420"/>
      </w:pPr>
      <w:bookmarkStart w:id="71" w:name="BookMark5"/>
    </w:p>
    <w:p>
      <w:pPr>
        <w:pStyle w:val="45"/>
        <w:tabs>
          <w:tab w:val="clear" w:pos="360"/>
        </w:tabs>
        <w:ind w:left="425"/>
      </w:pPr>
    </w:p>
    <w:p>
      <w:pPr>
        <w:pStyle w:val="19"/>
        <w:spacing w:before="78" w:after="156"/>
      </w:pPr>
      <w:r>
        <w:br w:type="textWrapping"/>
      </w:r>
      <w:bookmarkStart w:id="72" w:name="_Toc163422209"/>
      <w:r>
        <w:rPr>
          <w:rFonts w:hint="eastAsia"/>
        </w:rPr>
        <w:t>（资料性）</w:t>
      </w:r>
      <w:r>
        <w:br w:type="textWrapping"/>
      </w:r>
      <w:r>
        <w:rPr>
          <w:rFonts w:hint="eastAsia"/>
        </w:rPr>
        <w:t>生产档案</w:t>
      </w:r>
      <w:bookmarkEnd w:id="72"/>
    </w:p>
    <w:tbl>
      <w:tblPr>
        <w:tblStyle w:val="53"/>
        <w:tblW w:w="961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611"/>
        <w:gridCol w:w="820"/>
        <w:gridCol w:w="746"/>
        <w:gridCol w:w="1568"/>
        <w:gridCol w:w="1082"/>
        <w:gridCol w:w="929"/>
        <w:gridCol w:w="1743"/>
        <w:gridCol w:w="11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tcBorders>
              <w:top w:val="single" w:color="auto" w:sz="8" w:space="0"/>
              <w:bottom w:val="single" w:color="auto" w:sz="8" w:space="0"/>
            </w:tcBorders>
            <w:shd w:val="clear" w:color="auto" w:fill="auto"/>
            <w:vAlign w:val="center"/>
          </w:tcPr>
          <w:p>
            <w:pPr>
              <w:jc w:val="center"/>
              <w:rPr>
                <w:rFonts w:ascii="宋体" w:hAnsi="宋体" w:eastAsia="宋体" w:cs="Times New Roman"/>
                <w:kern w:val="0"/>
                <w:sz w:val="18"/>
                <w:szCs w:val="18"/>
              </w:rPr>
            </w:pPr>
            <w:r>
              <w:rPr>
                <w:rFonts w:hint="eastAsia" w:ascii="宋体" w:hAnsi="宋体" w:eastAsia="宋体" w:cs="Times New Roman"/>
                <w:kern w:val="0"/>
                <w:sz w:val="18"/>
                <w:szCs w:val="18"/>
              </w:rPr>
              <w:t>年度</w:t>
            </w:r>
          </w:p>
        </w:tc>
        <w:tc>
          <w:tcPr>
            <w:tcW w:w="820" w:type="dxa"/>
            <w:tcBorders>
              <w:top w:val="single" w:color="auto" w:sz="8" w:space="0"/>
              <w:bottom w:val="single" w:color="auto" w:sz="8" w:space="0"/>
            </w:tcBorders>
            <w:shd w:val="clear" w:color="auto" w:fill="auto"/>
            <w:vAlign w:val="center"/>
          </w:tcPr>
          <w:p>
            <w:pPr>
              <w:jc w:val="center"/>
              <w:rPr>
                <w:rFonts w:ascii="宋体" w:hAnsi="宋体" w:eastAsia="宋体" w:cs="Times New Roman"/>
                <w:kern w:val="0"/>
                <w:sz w:val="18"/>
                <w:szCs w:val="18"/>
              </w:rPr>
            </w:pPr>
          </w:p>
        </w:tc>
        <w:tc>
          <w:tcPr>
            <w:tcW w:w="746" w:type="dxa"/>
            <w:tcBorders>
              <w:top w:val="single" w:color="auto" w:sz="8" w:space="0"/>
              <w:bottom w:val="single" w:color="auto" w:sz="8" w:space="0"/>
            </w:tcBorders>
            <w:shd w:val="clear" w:color="auto" w:fill="auto"/>
            <w:vAlign w:val="center"/>
          </w:tcPr>
          <w:p>
            <w:pPr>
              <w:jc w:val="center"/>
              <w:rPr>
                <w:rFonts w:ascii="宋体" w:hAnsi="宋体" w:eastAsia="宋体" w:cs="Times New Roman"/>
                <w:kern w:val="0"/>
                <w:sz w:val="18"/>
                <w:szCs w:val="18"/>
              </w:rPr>
            </w:pPr>
            <w:r>
              <w:rPr>
                <w:rFonts w:hint="eastAsia" w:ascii="宋体" w:hAnsi="宋体" w:eastAsia="宋体" w:cs="Times New Roman"/>
                <w:kern w:val="0"/>
                <w:sz w:val="18"/>
                <w:szCs w:val="18"/>
              </w:rPr>
              <w:t>地点</w:t>
            </w:r>
          </w:p>
        </w:tc>
        <w:tc>
          <w:tcPr>
            <w:tcW w:w="1568" w:type="dxa"/>
            <w:tcBorders>
              <w:top w:val="single" w:color="auto" w:sz="8" w:space="0"/>
              <w:bottom w:val="single" w:color="auto" w:sz="8" w:space="0"/>
            </w:tcBorders>
            <w:shd w:val="clear" w:color="auto" w:fill="auto"/>
            <w:vAlign w:val="center"/>
          </w:tcPr>
          <w:p>
            <w:pPr>
              <w:jc w:val="center"/>
              <w:rPr>
                <w:rFonts w:ascii="宋体" w:hAnsi="宋体" w:eastAsia="宋体" w:cs="Times New Roman"/>
                <w:kern w:val="0"/>
                <w:sz w:val="18"/>
                <w:szCs w:val="18"/>
              </w:rPr>
            </w:pPr>
          </w:p>
        </w:tc>
        <w:tc>
          <w:tcPr>
            <w:tcW w:w="1082" w:type="dxa"/>
            <w:tcBorders>
              <w:top w:val="single" w:color="auto" w:sz="8" w:space="0"/>
              <w:bottom w:val="single" w:color="auto" w:sz="8" w:space="0"/>
            </w:tcBorders>
            <w:shd w:val="clear" w:color="auto" w:fill="auto"/>
            <w:vAlign w:val="center"/>
          </w:tcPr>
          <w:p>
            <w:pPr>
              <w:jc w:val="center"/>
              <w:rPr>
                <w:rFonts w:ascii="宋体" w:hAnsi="宋体" w:eastAsia="宋体" w:cs="Times New Roman"/>
                <w:kern w:val="0"/>
                <w:sz w:val="18"/>
                <w:szCs w:val="18"/>
              </w:rPr>
            </w:pPr>
            <w:r>
              <w:rPr>
                <w:rFonts w:hint="eastAsia" w:ascii="宋体" w:hAnsi="宋体" w:eastAsia="宋体" w:cs="Times New Roman"/>
                <w:kern w:val="0"/>
                <w:sz w:val="18"/>
                <w:szCs w:val="18"/>
              </w:rPr>
              <w:t>种类</w:t>
            </w:r>
          </w:p>
        </w:tc>
        <w:tc>
          <w:tcPr>
            <w:tcW w:w="929" w:type="dxa"/>
            <w:tcBorders>
              <w:top w:val="single" w:color="auto" w:sz="8" w:space="0"/>
              <w:bottom w:val="single" w:color="auto" w:sz="8" w:space="0"/>
            </w:tcBorders>
            <w:shd w:val="clear" w:color="auto" w:fill="auto"/>
            <w:vAlign w:val="center"/>
          </w:tcPr>
          <w:p>
            <w:pPr>
              <w:jc w:val="center"/>
              <w:rPr>
                <w:rFonts w:ascii="宋体" w:hAnsi="宋体" w:eastAsia="宋体" w:cs="Times New Roman"/>
                <w:kern w:val="0"/>
                <w:sz w:val="18"/>
                <w:szCs w:val="18"/>
              </w:rPr>
            </w:pPr>
          </w:p>
        </w:tc>
        <w:tc>
          <w:tcPr>
            <w:tcW w:w="1743" w:type="dxa"/>
            <w:tcBorders>
              <w:top w:val="single" w:color="auto" w:sz="8" w:space="0"/>
              <w:bottom w:val="single" w:color="auto" w:sz="8" w:space="0"/>
            </w:tcBorders>
            <w:shd w:val="clear" w:color="auto" w:fill="auto"/>
            <w:vAlign w:val="center"/>
          </w:tcPr>
          <w:p>
            <w:pPr>
              <w:jc w:val="center"/>
              <w:rPr>
                <w:rFonts w:ascii="宋体" w:hAnsi="宋体" w:eastAsia="宋体" w:cs="Times New Roman"/>
                <w:kern w:val="0"/>
                <w:sz w:val="18"/>
                <w:szCs w:val="18"/>
              </w:rPr>
            </w:pPr>
            <w:r>
              <w:rPr>
                <w:rFonts w:hint="eastAsia" w:ascii="宋体" w:hAnsi="宋体" w:eastAsia="宋体" w:cs="Times New Roman"/>
                <w:kern w:val="0"/>
                <w:sz w:val="18"/>
                <w:szCs w:val="18"/>
              </w:rPr>
              <w:t>记录人</w:t>
            </w:r>
          </w:p>
        </w:tc>
        <w:tc>
          <w:tcPr>
            <w:tcW w:w="1118" w:type="dxa"/>
            <w:tcBorders>
              <w:top w:val="single" w:color="auto" w:sz="8" w:space="0"/>
              <w:bottom w:val="single" w:color="auto" w:sz="8" w:space="0"/>
            </w:tcBorders>
            <w:shd w:val="clear" w:color="auto" w:fill="auto"/>
            <w:vAlign w:val="center"/>
          </w:tcPr>
          <w:p>
            <w:pPr>
              <w:jc w:val="center"/>
              <w:rPr>
                <w:rFonts w:ascii="宋体" w:hAnsi="宋体" w:eastAsia="宋体" w:cs="Times New Roman"/>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tcBorders>
              <w:top w:val="single" w:color="auto" w:sz="8" w:space="0"/>
            </w:tcBorders>
            <w:shd w:val="clear" w:color="auto" w:fill="auto"/>
            <w:vAlign w:val="center"/>
          </w:tcPr>
          <w:p>
            <w:pPr>
              <w:jc w:val="left"/>
              <w:rPr>
                <w:rFonts w:ascii="宋体" w:hAnsi="宋体" w:eastAsia="宋体" w:cs="Times New Roman"/>
                <w:kern w:val="0"/>
                <w:sz w:val="18"/>
                <w:szCs w:val="18"/>
              </w:rPr>
            </w:pPr>
            <w:r>
              <w:rPr>
                <w:rFonts w:hint="eastAsia" w:ascii="宋体" w:hAnsi="宋体" w:eastAsia="宋体" w:cs="Times New Roman"/>
                <w:kern w:val="0"/>
                <w:sz w:val="18"/>
                <w:szCs w:val="18"/>
              </w:rPr>
              <w:t>一、基本情况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jc w:val="center"/>
              <w:rPr>
                <w:rFonts w:ascii="宋体" w:hAnsi="宋体" w:eastAsia="宋体" w:cs="Times New Roman"/>
                <w:kern w:val="0"/>
                <w:sz w:val="18"/>
                <w:szCs w:val="18"/>
              </w:rPr>
            </w:pPr>
            <w:r>
              <w:rPr>
                <w:rFonts w:hint="eastAsia" w:ascii="宋体" w:hAnsi="宋体" w:eastAsia="宋体" w:cs="Times New Roman"/>
                <w:kern w:val="0"/>
                <w:sz w:val="18"/>
                <w:szCs w:val="18"/>
              </w:rPr>
              <w:t>设施类型</w:t>
            </w:r>
          </w:p>
        </w:tc>
        <w:tc>
          <w:tcPr>
            <w:tcW w:w="2314" w:type="dxa"/>
            <w:gridSpan w:val="2"/>
            <w:shd w:val="clear" w:color="auto" w:fill="auto"/>
            <w:vAlign w:val="center"/>
          </w:tcPr>
          <w:p>
            <w:pPr>
              <w:jc w:val="center"/>
              <w:rPr>
                <w:rFonts w:ascii="宋体" w:hAnsi="宋体" w:eastAsia="宋体" w:cs="Times New Roman"/>
                <w:kern w:val="0"/>
                <w:sz w:val="18"/>
                <w:szCs w:val="18"/>
              </w:rPr>
            </w:pPr>
          </w:p>
        </w:tc>
        <w:tc>
          <w:tcPr>
            <w:tcW w:w="2011" w:type="dxa"/>
            <w:gridSpan w:val="2"/>
            <w:shd w:val="clear" w:color="auto" w:fill="auto"/>
            <w:vAlign w:val="center"/>
          </w:tcPr>
          <w:p>
            <w:pPr>
              <w:jc w:val="center"/>
              <w:rPr>
                <w:rFonts w:ascii="宋体" w:hAnsi="宋体" w:eastAsia="宋体" w:cs="Times New Roman"/>
                <w:kern w:val="0"/>
                <w:sz w:val="18"/>
                <w:szCs w:val="18"/>
              </w:rPr>
            </w:pPr>
            <w:r>
              <w:rPr>
                <w:rFonts w:hint="eastAsia" w:ascii="宋体" w:hAnsi="宋体" w:eastAsia="宋体" w:cs="Times New Roman"/>
                <w:kern w:val="0"/>
                <w:sz w:val="18"/>
                <w:szCs w:val="18"/>
              </w:rPr>
              <w:t>品种名称</w:t>
            </w:r>
          </w:p>
        </w:tc>
        <w:tc>
          <w:tcPr>
            <w:tcW w:w="2861" w:type="dxa"/>
            <w:gridSpan w:val="2"/>
            <w:shd w:val="clear" w:color="auto" w:fill="auto"/>
            <w:vAlign w:val="center"/>
          </w:tcPr>
          <w:p>
            <w:pPr>
              <w:jc w:val="center"/>
              <w:rPr>
                <w:rFonts w:ascii="宋体" w:hAnsi="宋体" w:eastAsia="宋体" w:cs="Times New Roman"/>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jc w:val="center"/>
              <w:rPr>
                <w:rFonts w:ascii="宋体" w:hAnsi="宋体" w:eastAsia="宋体" w:cs="黑体"/>
                <w:kern w:val="0"/>
                <w:sz w:val="18"/>
                <w:szCs w:val="18"/>
              </w:rPr>
            </w:pPr>
            <w:r>
              <w:rPr>
                <w:rFonts w:hint="eastAsia" w:ascii="宋体" w:hAnsi="宋体" w:eastAsia="宋体" w:cs="Times New Roman"/>
                <w:kern w:val="0"/>
                <w:sz w:val="18"/>
                <w:szCs w:val="18"/>
              </w:rPr>
              <w:t>种植面积</w:t>
            </w:r>
          </w:p>
        </w:tc>
        <w:tc>
          <w:tcPr>
            <w:tcW w:w="2314" w:type="dxa"/>
            <w:gridSpan w:val="2"/>
            <w:shd w:val="clear" w:color="auto" w:fill="auto"/>
            <w:vAlign w:val="center"/>
          </w:tcPr>
          <w:p>
            <w:pPr>
              <w:jc w:val="center"/>
              <w:rPr>
                <w:rFonts w:ascii="宋体" w:hAnsi="宋体" w:eastAsia="宋体" w:cs="黑体"/>
                <w:kern w:val="0"/>
                <w:sz w:val="18"/>
                <w:szCs w:val="18"/>
              </w:rPr>
            </w:pPr>
          </w:p>
        </w:tc>
        <w:tc>
          <w:tcPr>
            <w:tcW w:w="2011" w:type="dxa"/>
            <w:gridSpan w:val="2"/>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定植时间</w:t>
            </w: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始收时间</w:t>
            </w:r>
          </w:p>
        </w:tc>
        <w:tc>
          <w:tcPr>
            <w:tcW w:w="2314" w:type="dxa"/>
            <w:gridSpan w:val="2"/>
            <w:shd w:val="clear" w:color="auto" w:fill="auto"/>
            <w:vAlign w:val="center"/>
          </w:tcPr>
          <w:p>
            <w:pPr>
              <w:jc w:val="center"/>
              <w:rPr>
                <w:rFonts w:ascii="宋体" w:hAnsi="宋体" w:eastAsia="宋体" w:cs="黑体"/>
                <w:kern w:val="0"/>
                <w:sz w:val="18"/>
                <w:szCs w:val="18"/>
              </w:rPr>
            </w:pPr>
          </w:p>
        </w:tc>
        <w:tc>
          <w:tcPr>
            <w:tcW w:w="2011" w:type="dxa"/>
            <w:gridSpan w:val="2"/>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终收时间</w:t>
            </w: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shd w:val="clear" w:color="auto" w:fill="auto"/>
            <w:vAlign w:val="center"/>
          </w:tcPr>
          <w:p>
            <w:pPr>
              <w:rPr>
                <w:rFonts w:ascii="宋体" w:hAnsi="宋体" w:eastAsia="宋体" w:cs="黑体"/>
                <w:kern w:val="0"/>
                <w:sz w:val="18"/>
                <w:szCs w:val="18"/>
              </w:rPr>
            </w:pPr>
            <w:r>
              <w:rPr>
                <w:rFonts w:hint="eastAsia" w:ascii="宋体" w:hAnsi="宋体" w:eastAsia="宋体" w:cs="黑体"/>
                <w:kern w:val="0"/>
                <w:sz w:val="18"/>
                <w:szCs w:val="18"/>
              </w:rPr>
              <w:t>二、</w:t>
            </w:r>
            <w:r>
              <w:rPr>
                <w:rFonts w:ascii="宋体" w:hAnsi="Times New Roman" w:eastAsia="宋体" w:cs="Times New Roman"/>
                <w:kern w:val="0"/>
                <w:sz w:val="18"/>
                <w:szCs w:val="18"/>
              </w:rPr>
              <w:t>CO</w:t>
            </w:r>
            <w:r>
              <w:rPr>
                <w:rFonts w:ascii="宋体" w:hAnsi="Times New Roman" w:eastAsia="宋体" w:cs="Times New Roman"/>
                <w:kern w:val="0"/>
                <w:sz w:val="18"/>
                <w:szCs w:val="18"/>
                <w:vertAlign w:val="subscript"/>
              </w:rPr>
              <w:t>2</w:t>
            </w:r>
            <w:r>
              <w:rPr>
                <w:rFonts w:hint="eastAsia" w:ascii="宋体" w:hAnsi="宋体" w:eastAsia="宋体" w:cs="黑体"/>
                <w:kern w:val="0"/>
                <w:sz w:val="18"/>
                <w:szCs w:val="18"/>
              </w:rPr>
              <w:t>施肥情况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日期</w:t>
            </w:r>
          </w:p>
        </w:tc>
        <w:tc>
          <w:tcPr>
            <w:tcW w:w="1566" w:type="dxa"/>
            <w:gridSpan w:val="2"/>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施肥时间</w:t>
            </w:r>
          </w:p>
        </w:tc>
        <w:tc>
          <w:tcPr>
            <w:tcW w:w="1568" w:type="dxa"/>
            <w:shd w:val="clear" w:color="auto" w:fill="auto"/>
            <w:vAlign w:val="center"/>
          </w:tcPr>
          <w:p>
            <w:pPr>
              <w:jc w:val="center"/>
              <w:rPr>
                <w:rFonts w:ascii="宋体" w:hAnsi="宋体" w:eastAsia="宋体" w:cs="黑体"/>
                <w:kern w:val="0"/>
                <w:sz w:val="18"/>
                <w:szCs w:val="18"/>
              </w:rPr>
            </w:pPr>
            <w:r>
              <w:rPr>
                <w:rFonts w:hint="eastAsia" w:ascii="宋体" w:hAnsi="Times New Roman" w:eastAsia="宋体" w:cs="Times New Roman"/>
                <w:kern w:val="0"/>
                <w:sz w:val="18"/>
                <w:szCs w:val="18"/>
              </w:rPr>
              <w:t>施肥浓度</w:t>
            </w:r>
          </w:p>
        </w:tc>
        <w:tc>
          <w:tcPr>
            <w:tcW w:w="2011" w:type="dxa"/>
            <w:gridSpan w:val="2"/>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施肥方法</w:t>
            </w:r>
          </w:p>
        </w:tc>
        <w:tc>
          <w:tcPr>
            <w:tcW w:w="2861" w:type="dxa"/>
            <w:gridSpan w:val="2"/>
            <w:shd w:val="clear" w:color="auto" w:fill="auto"/>
            <w:vAlign w:val="center"/>
          </w:tcPr>
          <w:p>
            <w:pPr>
              <w:jc w:val="center"/>
              <w:rPr>
                <w:rFonts w:ascii="宋体" w:hAnsi="宋体" w:eastAsia="宋体" w:cs="黑体"/>
                <w:kern w:val="0"/>
                <w:sz w:val="18"/>
                <w:szCs w:val="18"/>
              </w:rPr>
            </w:pPr>
            <w:r>
              <w:rPr>
                <w:rFonts w:hint="eastAsia" w:ascii="宋体" w:hAnsi="Times New Roman" w:eastAsia="宋体" w:cs="Times New Roman"/>
                <w:kern w:val="0"/>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2011" w:type="dxa"/>
            <w:gridSpan w:val="2"/>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2011" w:type="dxa"/>
            <w:gridSpan w:val="2"/>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2011" w:type="dxa"/>
            <w:gridSpan w:val="2"/>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2011" w:type="dxa"/>
            <w:gridSpan w:val="2"/>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2011" w:type="dxa"/>
            <w:gridSpan w:val="2"/>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2011" w:type="dxa"/>
            <w:gridSpan w:val="2"/>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shd w:val="clear" w:color="auto" w:fill="auto"/>
            <w:vAlign w:val="center"/>
          </w:tcPr>
          <w:p>
            <w:pPr>
              <w:rPr>
                <w:rFonts w:ascii="宋体" w:hAnsi="宋体" w:eastAsia="宋体" w:cs="黑体"/>
                <w:kern w:val="0"/>
                <w:sz w:val="18"/>
                <w:szCs w:val="18"/>
              </w:rPr>
            </w:pPr>
            <w:r>
              <w:rPr>
                <w:rFonts w:hint="eastAsia" w:ascii="宋体" w:hAnsi="宋体" w:eastAsia="宋体" w:cs="黑体"/>
                <w:kern w:val="0"/>
                <w:sz w:val="18"/>
                <w:szCs w:val="18"/>
              </w:rPr>
              <w:t>三、其他投入品使用情况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使用时间</w:t>
            </w:r>
          </w:p>
        </w:tc>
        <w:tc>
          <w:tcPr>
            <w:tcW w:w="1566" w:type="dxa"/>
            <w:gridSpan w:val="2"/>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投入品名称</w:t>
            </w:r>
          </w:p>
        </w:tc>
        <w:tc>
          <w:tcPr>
            <w:tcW w:w="1568" w:type="dxa"/>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使用目的</w:t>
            </w:r>
          </w:p>
        </w:tc>
        <w:tc>
          <w:tcPr>
            <w:tcW w:w="1082" w:type="dxa"/>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使用方法</w:t>
            </w:r>
          </w:p>
        </w:tc>
        <w:tc>
          <w:tcPr>
            <w:tcW w:w="929" w:type="dxa"/>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使用量</w:t>
            </w:r>
          </w:p>
        </w:tc>
        <w:tc>
          <w:tcPr>
            <w:tcW w:w="2861" w:type="dxa"/>
            <w:gridSpan w:val="2"/>
            <w:shd w:val="clear" w:color="auto" w:fill="auto"/>
            <w:vAlign w:val="center"/>
          </w:tcPr>
          <w:p>
            <w:pPr>
              <w:jc w:val="center"/>
              <w:rPr>
                <w:rFonts w:ascii="宋体" w:hAnsi="宋体" w:eastAsia="宋体" w:cs="黑体"/>
                <w:kern w:val="0"/>
                <w:sz w:val="18"/>
                <w:szCs w:val="18"/>
              </w:rPr>
            </w:pPr>
            <w:r>
              <w:rPr>
                <w:rFonts w:hint="eastAsia" w:ascii="宋体" w:hAnsi="宋体" w:eastAsia="宋体" w:cs="黑体"/>
                <w:kern w:val="0"/>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1082" w:type="dxa"/>
            <w:shd w:val="clear" w:color="auto" w:fill="auto"/>
            <w:vAlign w:val="center"/>
          </w:tcPr>
          <w:p>
            <w:pPr>
              <w:jc w:val="center"/>
              <w:rPr>
                <w:rFonts w:ascii="宋体" w:hAnsi="宋体" w:eastAsia="宋体" w:cs="黑体"/>
                <w:kern w:val="0"/>
                <w:sz w:val="18"/>
                <w:szCs w:val="18"/>
              </w:rPr>
            </w:pPr>
          </w:p>
        </w:tc>
        <w:tc>
          <w:tcPr>
            <w:tcW w:w="929" w:type="dxa"/>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1082" w:type="dxa"/>
            <w:shd w:val="clear" w:color="auto" w:fill="auto"/>
            <w:vAlign w:val="center"/>
          </w:tcPr>
          <w:p>
            <w:pPr>
              <w:jc w:val="center"/>
              <w:rPr>
                <w:rFonts w:ascii="宋体" w:hAnsi="宋体" w:eastAsia="宋体" w:cs="黑体"/>
                <w:kern w:val="0"/>
                <w:sz w:val="18"/>
                <w:szCs w:val="18"/>
              </w:rPr>
            </w:pPr>
          </w:p>
        </w:tc>
        <w:tc>
          <w:tcPr>
            <w:tcW w:w="929" w:type="dxa"/>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1082" w:type="dxa"/>
            <w:shd w:val="clear" w:color="auto" w:fill="auto"/>
            <w:vAlign w:val="center"/>
          </w:tcPr>
          <w:p>
            <w:pPr>
              <w:jc w:val="center"/>
              <w:rPr>
                <w:rFonts w:ascii="宋体" w:hAnsi="宋体" w:eastAsia="宋体" w:cs="黑体"/>
                <w:kern w:val="0"/>
                <w:sz w:val="18"/>
                <w:szCs w:val="18"/>
              </w:rPr>
            </w:pPr>
          </w:p>
        </w:tc>
        <w:tc>
          <w:tcPr>
            <w:tcW w:w="929" w:type="dxa"/>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1082" w:type="dxa"/>
            <w:shd w:val="clear" w:color="auto" w:fill="auto"/>
            <w:vAlign w:val="center"/>
          </w:tcPr>
          <w:p>
            <w:pPr>
              <w:jc w:val="center"/>
              <w:rPr>
                <w:rFonts w:ascii="宋体" w:hAnsi="宋体" w:eastAsia="宋体" w:cs="黑体"/>
                <w:kern w:val="0"/>
                <w:sz w:val="18"/>
                <w:szCs w:val="18"/>
              </w:rPr>
            </w:pPr>
          </w:p>
        </w:tc>
        <w:tc>
          <w:tcPr>
            <w:tcW w:w="929" w:type="dxa"/>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1082" w:type="dxa"/>
            <w:shd w:val="clear" w:color="auto" w:fill="auto"/>
            <w:vAlign w:val="center"/>
          </w:tcPr>
          <w:p>
            <w:pPr>
              <w:jc w:val="center"/>
              <w:rPr>
                <w:rFonts w:ascii="宋体" w:hAnsi="宋体" w:eastAsia="宋体" w:cs="黑体"/>
                <w:kern w:val="0"/>
                <w:sz w:val="18"/>
                <w:szCs w:val="18"/>
              </w:rPr>
            </w:pPr>
          </w:p>
        </w:tc>
        <w:tc>
          <w:tcPr>
            <w:tcW w:w="929" w:type="dxa"/>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9" w:hRule="exact"/>
          <w:jc w:val="center"/>
        </w:trPr>
        <w:tc>
          <w:tcPr>
            <w:tcW w:w="1611" w:type="dxa"/>
            <w:shd w:val="clear" w:color="auto" w:fill="auto"/>
            <w:vAlign w:val="center"/>
          </w:tcPr>
          <w:p>
            <w:pPr>
              <w:jc w:val="center"/>
              <w:rPr>
                <w:rFonts w:ascii="宋体" w:hAnsi="宋体" w:eastAsia="宋体" w:cs="黑体"/>
                <w:kern w:val="0"/>
                <w:sz w:val="18"/>
                <w:szCs w:val="18"/>
              </w:rPr>
            </w:pPr>
          </w:p>
        </w:tc>
        <w:tc>
          <w:tcPr>
            <w:tcW w:w="1566" w:type="dxa"/>
            <w:gridSpan w:val="2"/>
            <w:shd w:val="clear" w:color="auto" w:fill="auto"/>
            <w:vAlign w:val="center"/>
          </w:tcPr>
          <w:p>
            <w:pPr>
              <w:jc w:val="center"/>
              <w:rPr>
                <w:rFonts w:ascii="宋体" w:hAnsi="宋体" w:eastAsia="宋体" w:cs="黑体"/>
                <w:kern w:val="0"/>
                <w:sz w:val="18"/>
                <w:szCs w:val="18"/>
              </w:rPr>
            </w:pPr>
          </w:p>
        </w:tc>
        <w:tc>
          <w:tcPr>
            <w:tcW w:w="1568" w:type="dxa"/>
            <w:shd w:val="clear" w:color="auto" w:fill="auto"/>
            <w:vAlign w:val="center"/>
          </w:tcPr>
          <w:p>
            <w:pPr>
              <w:jc w:val="center"/>
              <w:rPr>
                <w:rFonts w:ascii="宋体" w:hAnsi="宋体" w:eastAsia="宋体" w:cs="黑体"/>
                <w:kern w:val="0"/>
                <w:sz w:val="18"/>
                <w:szCs w:val="18"/>
              </w:rPr>
            </w:pPr>
          </w:p>
        </w:tc>
        <w:tc>
          <w:tcPr>
            <w:tcW w:w="1082" w:type="dxa"/>
            <w:shd w:val="clear" w:color="auto" w:fill="auto"/>
            <w:vAlign w:val="center"/>
          </w:tcPr>
          <w:p>
            <w:pPr>
              <w:jc w:val="center"/>
              <w:rPr>
                <w:rFonts w:ascii="宋体" w:hAnsi="宋体" w:eastAsia="宋体" w:cs="黑体"/>
                <w:kern w:val="0"/>
                <w:sz w:val="18"/>
                <w:szCs w:val="18"/>
              </w:rPr>
            </w:pPr>
          </w:p>
        </w:tc>
        <w:tc>
          <w:tcPr>
            <w:tcW w:w="929" w:type="dxa"/>
            <w:shd w:val="clear" w:color="auto" w:fill="auto"/>
            <w:vAlign w:val="center"/>
          </w:tcPr>
          <w:p>
            <w:pPr>
              <w:jc w:val="center"/>
              <w:rPr>
                <w:rFonts w:ascii="宋体" w:hAnsi="宋体" w:eastAsia="宋体" w:cs="黑体"/>
                <w:kern w:val="0"/>
                <w:sz w:val="18"/>
                <w:szCs w:val="18"/>
              </w:rPr>
            </w:pPr>
          </w:p>
        </w:tc>
        <w:tc>
          <w:tcPr>
            <w:tcW w:w="2861" w:type="dxa"/>
            <w:gridSpan w:val="2"/>
            <w:shd w:val="clear" w:color="auto" w:fill="auto"/>
            <w:vAlign w:val="center"/>
          </w:tcPr>
          <w:p>
            <w:pPr>
              <w:jc w:val="center"/>
              <w:rPr>
                <w:rFonts w:ascii="宋体" w:hAnsi="宋体" w:eastAsia="宋体" w:cs="黑体"/>
                <w:kern w:val="0"/>
                <w:sz w:val="18"/>
                <w:szCs w:val="18"/>
              </w:rPr>
            </w:pPr>
          </w:p>
        </w:tc>
      </w:tr>
    </w:tbl>
    <w:p>
      <w:pPr>
        <w:pStyle w:val="17"/>
        <w:ind w:firstLine="420"/>
        <w:jc w:val="center"/>
        <w:rPr>
          <w:rFonts w:hint="eastAsia"/>
        </w:rPr>
      </w:pPr>
      <w:bookmarkStart w:id="73" w:name="BookMark8"/>
      <w:r>
        <w:rPr>
          <w:rFonts w:hint="eastAsia"/>
        </w:rPr>
        <w:drawing>
          <wp:inline distT="0" distB="0" distL="0" distR="0">
            <wp:extent cx="1485900" cy="317500"/>
            <wp:effectExtent l="0" t="0" r="0" b="6350"/>
            <wp:docPr id="732187488" name="图片 1"/>
            <wp:cNvGraphicFramePr/>
            <a:graphic xmlns:a="http://schemas.openxmlformats.org/drawingml/2006/main">
              <a:graphicData uri="http://schemas.openxmlformats.org/drawingml/2006/picture">
                <pic:pic xmlns:pic="http://schemas.openxmlformats.org/drawingml/2006/picture">
                  <pic:nvPicPr>
                    <pic:cNvPr id="732187488" name="图片 1"/>
                    <pic:cNvPicPr/>
                  </pic:nvPicPr>
                  <pic:blipFill>
                    <a:blip r:embed="rId1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1"/>
      <w:bookmarkEnd w:id="73"/>
    </w:p>
    <w:sectPr>
      <w:pgSz w:w="11906" w:h="16838"/>
      <w:pgMar w:top="1871"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fldChar w:fldCharType="begin"/>
    </w:r>
    <w:r>
      <w:instrText xml:space="preserve"> STYLEREF  标准文件_文件编号  \* MERGEFORMAT </w:instrText>
    </w:r>
    <w:r>
      <w:fldChar w:fldCharType="separate"/>
    </w:r>
    <w:r>
      <w:t>DB14/T 1286—2024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fldChar w:fldCharType="begin"/>
    </w:r>
    <w:r>
      <w:instrText xml:space="preserve"> STYLEREF  标准文件_文件编号  \* MERGEFORMAT </w:instrText>
    </w:r>
    <w:r>
      <w:fldChar w:fldCharType="separate"/>
    </w:r>
    <w:r>
      <w:t>DB14/T 1286—2024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D3FEA"/>
    <w:multiLevelType w:val="multilevel"/>
    <w:tmpl w:val="07ED3FEA"/>
    <w:lvl w:ilvl="0" w:tentative="0">
      <w:start w:val="1"/>
      <w:numFmt w:val="none"/>
      <w:pStyle w:val="27"/>
      <w:lvlText w:val="%1"/>
      <w:lvlJc w:val="left"/>
      <w:pPr>
        <w:ind w:left="425" w:hanging="425"/>
      </w:pPr>
      <w:rPr>
        <w:rFonts w:hint="eastAsia"/>
      </w:rPr>
    </w:lvl>
    <w:lvl w:ilvl="1" w:tentative="0">
      <w:start w:val="1"/>
      <w:numFmt w:val="decimal"/>
      <w:pStyle w:val="46"/>
      <w:suff w:val="nothing"/>
      <w:lvlText w:val="%10.%2 "/>
      <w:lvlJc w:val="left"/>
      <w:pPr>
        <w:ind w:left="0" w:firstLine="0"/>
      </w:pPr>
      <w:rPr>
        <w:rFonts w:hint="eastAsia" w:ascii="黑体" w:eastAsia="黑体" w:hAnsiTheme="minorHAnsi"/>
        <w:b w:val="0"/>
        <w:i w:val="0"/>
        <w:sz w:val="21"/>
      </w:rPr>
    </w:lvl>
    <w:lvl w:ilvl="2" w:tentative="0">
      <w:start w:val="1"/>
      <w:numFmt w:val="decimal"/>
      <w:pStyle w:val="47"/>
      <w:suff w:val="nothing"/>
      <w:lvlText w:val="%10.%2.%3 "/>
      <w:lvlJc w:val="left"/>
      <w:pPr>
        <w:ind w:left="0" w:firstLine="0"/>
      </w:pPr>
      <w:rPr>
        <w:rFonts w:hint="eastAsia" w:ascii="黑体" w:eastAsia="黑体" w:hAnsiTheme="minorHAnsi"/>
        <w:b w:val="0"/>
        <w:i w:val="0"/>
        <w:sz w:val="21"/>
      </w:rPr>
    </w:lvl>
    <w:lvl w:ilvl="3" w:tentative="0">
      <w:start w:val="1"/>
      <w:numFmt w:val="decimal"/>
      <w:pStyle w:val="48"/>
      <w:suff w:val="nothing"/>
      <w:lvlText w:val="%10.%2.%3.%4 "/>
      <w:lvlJc w:val="left"/>
      <w:pPr>
        <w:ind w:left="0" w:firstLine="0"/>
      </w:pPr>
      <w:rPr>
        <w:rFonts w:hint="eastAsia" w:ascii="黑体" w:eastAsia="黑体" w:hAnsiTheme="minorHAnsi"/>
        <w:b w:val="0"/>
        <w:i w:val="0"/>
        <w:sz w:val="21"/>
      </w:rPr>
    </w:lvl>
    <w:lvl w:ilvl="4" w:tentative="0">
      <w:start w:val="1"/>
      <w:numFmt w:val="decimal"/>
      <w:pStyle w:val="49"/>
      <w:suff w:val="nothing"/>
      <w:lvlText w:val="%10.%2.%3.%4.%5 "/>
      <w:lvlJc w:val="left"/>
      <w:pPr>
        <w:ind w:left="0" w:firstLine="0"/>
      </w:pPr>
      <w:rPr>
        <w:rFonts w:hint="eastAsia" w:ascii="黑体" w:eastAsia="黑体" w:hAnsiTheme="minorHAnsi"/>
        <w:b w:val="0"/>
        <w:i w:val="0"/>
        <w:sz w:val="21"/>
      </w:rPr>
    </w:lvl>
    <w:lvl w:ilvl="5" w:tentative="0">
      <w:start w:val="1"/>
      <w:numFmt w:val="decimal"/>
      <w:pStyle w:val="50"/>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48802D1C"/>
    <w:multiLevelType w:val="multilevel"/>
    <w:tmpl w:val="48802D1C"/>
    <w:lvl w:ilvl="0" w:tentative="0">
      <w:start w:val="1"/>
      <w:numFmt w:val="upperLetter"/>
      <w:pStyle w:val="44"/>
      <w:lvlText w:val="%1"/>
      <w:lvlJc w:val="left"/>
      <w:pPr>
        <w:ind w:left="420" w:hanging="420"/>
      </w:pPr>
      <w:rPr>
        <w:rFonts w:hint="eastAsia"/>
      </w:rPr>
    </w:lvl>
    <w:lvl w:ilvl="1" w:tentative="0">
      <w:start w:val="1"/>
      <w:numFmt w:val="decimal"/>
      <w:pStyle w:val="2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5603797C"/>
    <w:multiLevelType w:val="multilevel"/>
    <w:tmpl w:val="5603797C"/>
    <w:lvl w:ilvl="0" w:tentative="0">
      <w:start w:val="1"/>
      <w:numFmt w:val="upperLetter"/>
      <w:pStyle w:val="45"/>
      <w:suff w:val="space"/>
      <w:lvlText w:val="%1"/>
      <w:lvlJc w:val="left"/>
      <w:pPr>
        <w:ind w:left="425" w:hanging="425"/>
      </w:pPr>
      <w:rPr>
        <w:rFonts w:hint="eastAsia"/>
      </w:rPr>
    </w:lvl>
    <w:lvl w:ilvl="1" w:tentative="0">
      <w:start w:val="1"/>
      <w:numFmt w:val="decimal"/>
      <w:pStyle w:val="2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57D3FBC"/>
    <w:multiLevelType w:val="multilevel"/>
    <w:tmpl w:val="657D3FBC"/>
    <w:lvl w:ilvl="0" w:tentative="0">
      <w:start w:val="1"/>
      <w:numFmt w:val="upperLetter"/>
      <w:pStyle w:val="19"/>
      <w:suff w:val="nothing"/>
      <w:lvlText w:val="附录%1"/>
      <w:lvlJc w:val="left"/>
      <w:pPr>
        <w:ind w:left="0" w:firstLine="0"/>
      </w:pPr>
      <w:rPr>
        <w:rFonts w:hint="eastAsia"/>
        <w:spacing w:val="100"/>
      </w:rPr>
    </w:lvl>
    <w:lvl w:ilvl="1" w:tentative="0">
      <w:start w:val="1"/>
      <w:numFmt w:val="decimal"/>
      <w:pStyle w:val="21"/>
      <w:suff w:val="nothing"/>
      <w:lvlText w:val="%1.%2　"/>
      <w:lvlJc w:val="left"/>
      <w:pPr>
        <w:ind w:left="0" w:firstLine="0"/>
      </w:pPr>
      <w:rPr>
        <w:rFonts w:hint="eastAsia" w:ascii="黑体" w:eastAsia="黑体"/>
        <w:b w:val="0"/>
        <w:i w:val="0"/>
        <w:sz w:val="21"/>
      </w:rPr>
    </w:lvl>
    <w:lvl w:ilvl="2" w:tentative="0">
      <w:start w:val="1"/>
      <w:numFmt w:val="decimal"/>
      <w:pStyle w:val="22"/>
      <w:suff w:val="nothing"/>
      <w:lvlText w:val="%1.%2.%3　"/>
      <w:lvlJc w:val="left"/>
      <w:pPr>
        <w:ind w:left="0" w:firstLine="0"/>
      </w:pPr>
      <w:rPr>
        <w:rFonts w:hint="eastAsia" w:ascii="黑体" w:eastAsia="黑体"/>
        <w:b w:val="0"/>
        <w:i w:val="0"/>
        <w:sz w:val="21"/>
      </w:rPr>
    </w:lvl>
    <w:lvl w:ilvl="3" w:tentative="0">
      <w:start w:val="1"/>
      <w:numFmt w:val="decimal"/>
      <w:pStyle w:val="23"/>
      <w:suff w:val="nothing"/>
      <w:lvlText w:val="%1.%2.%3.%4　"/>
      <w:lvlJc w:val="left"/>
      <w:pPr>
        <w:ind w:left="0" w:firstLine="0"/>
      </w:pPr>
      <w:rPr>
        <w:rFonts w:hint="eastAsia" w:ascii="黑体" w:eastAsia="黑体"/>
        <w:b w:val="0"/>
        <w:i w:val="0"/>
        <w:sz w:val="21"/>
      </w:rPr>
    </w:lvl>
    <w:lvl w:ilvl="4" w:tentative="0">
      <w:start w:val="1"/>
      <w:numFmt w:val="decimal"/>
      <w:pStyle w:val="24"/>
      <w:suff w:val="nothing"/>
      <w:lvlText w:val="%1.%2.%3.%4.%5　"/>
      <w:lvlJc w:val="left"/>
      <w:pPr>
        <w:ind w:left="0" w:firstLine="0"/>
      </w:pPr>
      <w:rPr>
        <w:rFonts w:hint="eastAsia" w:ascii="黑体" w:eastAsia="黑体"/>
        <w:b w:val="0"/>
        <w:i w:val="0"/>
        <w:sz w:val="21"/>
      </w:rPr>
    </w:lvl>
    <w:lvl w:ilvl="5" w:tentative="0">
      <w:start w:val="1"/>
      <w:numFmt w:val="decimal"/>
      <w:pStyle w:val="2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CEA2025"/>
    <w:multiLevelType w:val="multilevel"/>
    <w:tmpl w:val="6CEA2025"/>
    <w:lvl w:ilvl="0" w:tentative="0">
      <w:start w:val="1"/>
      <w:numFmt w:val="none"/>
      <w:pStyle w:val="36"/>
      <w:suff w:val="nothing"/>
      <w:lvlText w:val="%1"/>
      <w:lvlJc w:val="left"/>
      <w:pPr>
        <w:ind w:left="0" w:firstLine="0"/>
      </w:pPr>
      <w:rPr>
        <w:rFonts w:hint="eastAsia"/>
      </w:rPr>
    </w:lvl>
    <w:lvl w:ilvl="1" w:tentative="0">
      <w:start w:val="1"/>
      <w:numFmt w:val="decimal"/>
      <w:pStyle w:val="32"/>
      <w:suff w:val="nothing"/>
      <w:lvlText w:val="%1%2　"/>
      <w:lvlJc w:val="left"/>
      <w:pPr>
        <w:ind w:left="0" w:firstLine="0"/>
      </w:pPr>
      <w:rPr>
        <w:rFonts w:hint="eastAsia" w:ascii="黑体" w:eastAsia="黑体"/>
        <w:b w:val="0"/>
        <w:i w:val="0"/>
        <w:sz w:val="21"/>
      </w:rPr>
    </w:lvl>
    <w:lvl w:ilvl="2" w:tentative="0">
      <w:start w:val="1"/>
      <w:numFmt w:val="decimal"/>
      <w:pStyle w:val="3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18"/>
      <w:suff w:val="nothing"/>
      <w:lvlText w:val="%1%2.%3.%4　"/>
      <w:lvlJc w:val="left"/>
      <w:pPr>
        <w:ind w:left="0" w:firstLine="0"/>
      </w:pPr>
      <w:rPr>
        <w:rFonts w:hint="eastAsia" w:ascii="黑体" w:eastAsia="黑体"/>
        <w:b w:val="0"/>
        <w:i w:val="0"/>
        <w:sz w:val="21"/>
      </w:rPr>
    </w:lvl>
    <w:lvl w:ilvl="4" w:tentative="0">
      <w:start w:val="1"/>
      <w:numFmt w:val="decimal"/>
      <w:pStyle w:val="29"/>
      <w:suff w:val="nothing"/>
      <w:lvlText w:val="%1%2.%3.%4.%5　"/>
      <w:lvlJc w:val="left"/>
      <w:pPr>
        <w:ind w:left="0" w:firstLine="0"/>
      </w:pPr>
      <w:rPr>
        <w:rFonts w:hint="eastAsia" w:ascii="黑体" w:eastAsia="黑体"/>
        <w:b w:val="0"/>
        <w:i w:val="0"/>
        <w:sz w:val="21"/>
      </w:rPr>
    </w:lvl>
    <w:lvl w:ilvl="5" w:tentative="0">
      <w:start w:val="1"/>
      <w:numFmt w:val="decimal"/>
      <w:pStyle w:val="30"/>
      <w:suff w:val="nothing"/>
      <w:lvlText w:val="%1%2.%3.%4.%5.%6　"/>
      <w:lvlJc w:val="left"/>
      <w:pPr>
        <w:ind w:left="0" w:firstLine="0"/>
      </w:pPr>
      <w:rPr>
        <w:rFonts w:hint="eastAsia" w:ascii="黑体" w:eastAsia="黑体"/>
        <w:b w:val="0"/>
        <w:i w:val="0"/>
        <w:sz w:val="21"/>
      </w:rPr>
    </w:lvl>
    <w:lvl w:ilvl="6" w:tentative="0">
      <w:start w:val="1"/>
      <w:numFmt w:val="decimal"/>
      <w:pStyle w:val="31"/>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zMWQ2MTE4NGY1MjM1MDFmZGVjZWVhZGRjMjQ1MzEifQ=="/>
  </w:docVars>
  <w:rsids>
    <w:rsidRoot w:val="00C81FC1"/>
    <w:rsid w:val="001A6B2F"/>
    <w:rsid w:val="001B01BE"/>
    <w:rsid w:val="00876240"/>
    <w:rsid w:val="0089411F"/>
    <w:rsid w:val="00BA759A"/>
    <w:rsid w:val="00BB143D"/>
    <w:rsid w:val="00C57AAE"/>
    <w:rsid w:val="00C81FC1"/>
    <w:rsid w:val="00E93AB1"/>
    <w:rsid w:val="46CE2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2"/>
    <w:unhideWhenUsed/>
    <w:uiPriority w:val="99"/>
    <w:pPr>
      <w:tabs>
        <w:tab w:val="center" w:pos="4153"/>
        <w:tab w:val="right" w:pos="8306"/>
      </w:tabs>
      <w:snapToGrid w:val="0"/>
      <w:jc w:val="left"/>
    </w:pPr>
    <w:rPr>
      <w:sz w:val="18"/>
      <w:szCs w:val="18"/>
    </w:rPr>
  </w:style>
  <w:style w:type="paragraph" w:styleId="3">
    <w:name w:val="header"/>
    <w:basedOn w:val="1"/>
    <w:link w:val="11"/>
    <w:unhideWhenUsed/>
    <w:uiPriority w:val="99"/>
    <w:pPr>
      <w:tabs>
        <w:tab w:val="center" w:pos="4153"/>
        <w:tab w:val="right" w:pos="8306"/>
      </w:tabs>
      <w:snapToGrid w:val="0"/>
      <w:jc w:val="center"/>
    </w:pPr>
    <w:rPr>
      <w:sz w:val="18"/>
      <w:szCs w:val="18"/>
    </w:rPr>
  </w:style>
  <w:style w:type="paragraph" w:styleId="4">
    <w:name w:val="toc 1"/>
    <w:basedOn w:val="1"/>
    <w:next w:val="1"/>
    <w:autoRedefine/>
    <w:unhideWhenUsed/>
    <w:uiPriority w:val="39"/>
    <w:pPr>
      <w:adjustRightInd w:val="0"/>
      <w:spacing w:line="400" w:lineRule="exact"/>
    </w:pPr>
    <w:rPr>
      <w:rFonts w:ascii="宋体" w:hAnsi="Calibri" w:eastAsia="宋体" w:cs="Times New Roman"/>
      <w:szCs w:val="21"/>
    </w:rPr>
  </w:style>
  <w:style w:type="table" w:styleId="6">
    <w:name w:val="Table Grid"/>
    <w:basedOn w:val="5"/>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uiPriority w:val="99"/>
    <w:rPr>
      <w:rFonts w:ascii="宋体" w:hAnsi="Times New Roman" w:eastAsia="宋体"/>
      <w:color w:val="auto"/>
      <w:spacing w:val="0"/>
      <w:w w:val="100"/>
      <w:position w:val="0"/>
      <w:sz w:val="21"/>
      <w:u w:val="none"/>
      <w:vertAlign w:val="baseline"/>
    </w:rPr>
  </w:style>
  <w:style w:type="paragraph" w:customStyle="1" w:styleId="9">
    <w:name w:val="章节标题"/>
    <w:link w:val="10"/>
    <w:qFormat/>
    <w:uiPriority w:val="0"/>
    <w:pPr>
      <w:spacing w:before="2400" w:beforeLines="2400" w:after="1800" w:afterLines="1800" w:line="400" w:lineRule="atLeast"/>
      <w:jc w:val="center"/>
      <w:outlineLvl w:val="0"/>
    </w:pPr>
    <w:rPr>
      <w:rFonts w:ascii="Times New Roman" w:hAnsi="Times New Roman" w:eastAsia="黑体" w:cstheme="minorBidi"/>
      <w:bCs/>
      <w:kern w:val="44"/>
      <w:sz w:val="30"/>
      <w:szCs w:val="44"/>
      <w:lang w:val="en-US" w:eastAsia="zh-CN" w:bidi="ar-SA"/>
    </w:rPr>
  </w:style>
  <w:style w:type="character" w:customStyle="1" w:styleId="10">
    <w:name w:val="章节标题 字符"/>
    <w:basedOn w:val="7"/>
    <w:link w:val="9"/>
    <w:uiPriority w:val="0"/>
    <w:rPr>
      <w:rFonts w:ascii="Times New Roman" w:hAnsi="Times New Roman" w:eastAsia="黑体"/>
      <w:bCs/>
      <w:kern w:val="44"/>
      <w:sz w:val="30"/>
      <w:szCs w:val="44"/>
    </w:rPr>
  </w:style>
  <w:style w:type="character" w:customStyle="1" w:styleId="11">
    <w:name w:val="页眉 字符"/>
    <w:basedOn w:val="7"/>
    <w:link w:val="3"/>
    <w:uiPriority w:val="99"/>
    <w:rPr>
      <w:sz w:val="18"/>
      <w:szCs w:val="18"/>
    </w:rPr>
  </w:style>
  <w:style w:type="character" w:customStyle="1" w:styleId="12">
    <w:name w:val="页脚 字符"/>
    <w:basedOn w:val="7"/>
    <w:link w:val="2"/>
    <w:uiPriority w:val="99"/>
    <w:rPr>
      <w:sz w:val="18"/>
      <w:szCs w:val="18"/>
    </w:rPr>
  </w:style>
  <w:style w:type="paragraph" w:customStyle="1" w:styleId="13">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kern w:val="0"/>
      <w:sz w:val="96"/>
      <w:szCs w:val="20"/>
      <w:lang w:val="en-US" w:eastAsia="zh-CN" w:bidi="ar-SA"/>
    </w:rPr>
  </w:style>
  <w:style w:type="paragraph" w:customStyle="1" w:styleId="14">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kern w:val="0"/>
      <w:sz w:val="52"/>
      <w:szCs w:val="20"/>
      <w:lang w:val="en-US" w:eastAsia="zh-CN" w:bidi="ar-SA"/>
    </w:rPr>
  </w:style>
  <w:style w:type="paragraph" w:customStyle="1" w:styleId="15">
    <w:name w:val="标准文件_页脚奇数页"/>
    <w:uiPriority w:val="0"/>
    <w:pPr>
      <w:ind w:right="227"/>
      <w:jc w:val="right"/>
    </w:pPr>
    <w:rPr>
      <w:rFonts w:ascii="宋体" w:hAnsi="Times New Roman" w:eastAsia="宋体" w:cs="Times New Roman"/>
      <w:kern w:val="0"/>
      <w:sz w:val="18"/>
      <w:szCs w:val="20"/>
      <w:lang w:val="en-US" w:eastAsia="zh-CN" w:bidi="ar-SA"/>
    </w:rPr>
  </w:style>
  <w:style w:type="paragraph" w:customStyle="1" w:styleId="16">
    <w:name w:val="标准文件_页眉奇数页"/>
    <w:next w:val="1"/>
    <w:uiPriority w:val="0"/>
    <w:pPr>
      <w:tabs>
        <w:tab w:val="center" w:pos="4154"/>
        <w:tab w:val="right" w:pos="8306"/>
      </w:tabs>
      <w:spacing w:after="120"/>
      <w:jc w:val="right"/>
    </w:pPr>
    <w:rPr>
      <w:rFonts w:ascii="黑体" w:hAnsi="宋体" w:eastAsia="黑体" w:cs="Times New Roman"/>
      <w:kern w:val="0"/>
      <w:sz w:val="21"/>
      <w:szCs w:val="20"/>
      <w:lang w:val="en-US" w:eastAsia="zh-CN" w:bidi="ar-SA"/>
    </w:rPr>
  </w:style>
  <w:style w:type="paragraph" w:customStyle="1" w:styleId="17">
    <w:name w:val="标准文件_段"/>
    <w:link w:val="38"/>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8">
    <w:name w:val="标准文件_二级条标题"/>
    <w:next w:val="17"/>
    <w:uiPriority w:val="0"/>
    <w:pPr>
      <w:widowControl w:val="0"/>
      <w:numPr>
        <w:ilvl w:val="3"/>
        <w:numId w:val="1"/>
      </w:numPr>
      <w:spacing w:before="50" w:beforeLines="50" w:after="50" w:afterLines="50"/>
      <w:jc w:val="both"/>
      <w:outlineLvl w:val="2"/>
    </w:pPr>
    <w:rPr>
      <w:rFonts w:ascii="黑体" w:hAnsi="Times New Roman" w:eastAsia="黑体" w:cs="Times New Roman"/>
      <w:kern w:val="0"/>
      <w:sz w:val="21"/>
      <w:szCs w:val="20"/>
      <w:lang w:val="en-US" w:eastAsia="zh-CN" w:bidi="ar-SA"/>
    </w:rPr>
  </w:style>
  <w:style w:type="paragraph" w:customStyle="1" w:styleId="19">
    <w:name w:val="标准文件_附录标识"/>
    <w:next w:val="17"/>
    <w:uiPriority w:val="0"/>
    <w:pPr>
      <w:numPr>
        <w:ilvl w:val="0"/>
        <w:numId w:val="2"/>
      </w:numPr>
      <w:shd w:val="clear" w:color="FFFFFF" w:fill="FFFFFF"/>
      <w:tabs>
        <w:tab w:val="left" w:pos="6406"/>
      </w:tabs>
      <w:spacing w:before="25" w:beforeLines="25" w:after="50" w:afterLines="50"/>
      <w:jc w:val="center"/>
      <w:outlineLvl w:val="0"/>
    </w:pPr>
    <w:rPr>
      <w:rFonts w:ascii="黑体" w:hAnsi="Times New Roman" w:eastAsia="黑体" w:cs="Times New Roman"/>
      <w:kern w:val="0"/>
      <w:sz w:val="21"/>
      <w:szCs w:val="20"/>
      <w:lang w:val="en-US" w:eastAsia="zh-CN" w:bidi="ar-SA"/>
    </w:rPr>
  </w:style>
  <w:style w:type="paragraph" w:customStyle="1" w:styleId="20">
    <w:name w:val="标准文件_附录表标题"/>
    <w:next w:val="17"/>
    <w:uiPriority w:val="0"/>
    <w:pPr>
      <w:numPr>
        <w:ilvl w:val="1"/>
        <w:numId w:val="3"/>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szCs w:val="20"/>
      <w:lang w:val="en-US" w:eastAsia="zh-CN" w:bidi="ar-SA"/>
    </w:rPr>
  </w:style>
  <w:style w:type="paragraph" w:customStyle="1" w:styleId="21">
    <w:name w:val="标准文件_附录一级条标题"/>
    <w:next w:val="17"/>
    <w:uiPriority w:val="0"/>
    <w:pPr>
      <w:widowControl w:val="0"/>
      <w:numPr>
        <w:ilvl w:val="1"/>
        <w:numId w:val="2"/>
      </w:numPr>
      <w:spacing w:before="50" w:beforeLines="50" w:after="50" w:afterLines="50"/>
      <w:jc w:val="both"/>
      <w:outlineLvl w:val="2"/>
    </w:pPr>
    <w:rPr>
      <w:rFonts w:ascii="黑体" w:hAnsi="Times New Roman" w:eastAsia="黑体" w:cs="Times New Roman"/>
      <w:kern w:val="21"/>
      <w:sz w:val="21"/>
      <w:szCs w:val="20"/>
      <w:lang w:val="en-US" w:eastAsia="zh-CN" w:bidi="ar-SA"/>
    </w:rPr>
  </w:style>
  <w:style w:type="paragraph" w:customStyle="1" w:styleId="22">
    <w:name w:val="标准文件_附录二级条标题"/>
    <w:basedOn w:val="21"/>
    <w:next w:val="17"/>
    <w:uiPriority w:val="0"/>
    <w:pPr>
      <w:widowControl/>
      <w:numPr>
        <w:ilvl w:val="2"/>
      </w:numPr>
      <w:wordWrap w:val="0"/>
      <w:overflowPunct w:val="0"/>
      <w:autoSpaceDE w:val="0"/>
      <w:autoSpaceDN w:val="0"/>
      <w:textAlignment w:val="baseline"/>
      <w:outlineLvl w:val="3"/>
    </w:pPr>
  </w:style>
  <w:style w:type="paragraph" w:customStyle="1" w:styleId="23">
    <w:name w:val="标准文件_附录三级条标题"/>
    <w:next w:val="17"/>
    <w:uiPriority w:val="0"/>
    <w:pPr>
      <w:widowControl w:val="0"/>
      <w:numPr>
        <w:ilvl w:val="3"/>
        <w:numId w:val="2"/>
      </w:numPr>
      <w:spacing w:before="50" w:beforeLines="50" w:after="50" w:afterLines="50"/>
      <w:jc w:val="both"/>
      <w:outlineLvl w:val="4"/>
    </w:pPr>
    <w:rPr>
      <w:rFonts w:ascii="黑体" w:hAnsi="Times New Roman" w:eastAsia="黑体" w:cs="Times New Roman"/>
      <w:kern w:val="21"/>
      <w:sz w:val="21"/>
      <w:szCs w:val="20"/>
      <w:lang w:val="en-US" w:eastAsia="zh-CN" w:bidi="ar-SA"/>
    </w:rPr>
  </w:style>
  <w:style w:type="paragraph" w:customStyle="1" w:styleId="24">
    <w:name w:val="标准文件_附录四级条标题"/>
    <w:next w:val="17"/>
    <w:uiPriority w:val="0"/>
    <w:pPr>
      <w:widowControl w:val="0"/>
      <w:numPr>
        <w:ilvl w:val="4"/>
        <w:numId w:val="2"/>
      </w:numPr>
      <w:spacing w:before="50" w:beforeLines="50" w:after="50" w:afterLines="50"/>
      <w:jc w:val="both"/>
      <w:outlineLvl w:val="5"/>
    </w:pPr>
    <w:rPr>
      <w:rFonts w:ascii="黑体" w:hAnsi="Times New Roman" w:eastAsia="黑体" w:cs="Times New Roman"/>
      <w:kern w:val="21"/>
      <w:sz w:val="21"/>
      <w:szCs w:val="20"/>
      <w:lang w:val="en-US" w:eastAsia="zh-CN" w:bidi="ar-SA"/>
    </w:rPr>
  </w:style>
  <w:style w:type="paragraph" w:customStyle="1" w:styleId="25">
    <w:name w:val="标准文件_附录图标题"/>
    <w:next w:val="17"/>
    <w:uiPriority w:val="0"/>
    <w:pPr>
      <w:numPr>
        <w:ilvl w:val="1"/>
        <w:numId w:val="4"/>
      </w:numPr>
      <w:adjustRightInd w:val="0"/>
      <w:snapToGrid w:val="0"/>
      <w:spacing w:before="50" w:beforeLines="50" w:after="50" w:afterLines="50"/>
      <w:ind w:firstLine="420"/>
      <w:jc w:val="center"/>
    </w:pPr>
    <w:rPr>
      <w:rFonts w:ascii="黑体" w:hAnsi="Times New Roman" w:eastAsia="黑体" w:cs="Times New Roman"/>
      <w:kern w:val="0"/>
      <w:sz w:val="21"/>
      <w:szCs w:val="20"/>
      <w:lang w:val="en-US" w:eastAsia="zh-CN" w:bidi="ar-SA"/>
    </w:rPr>
  </w:style>
  <w:style w:type="paragraph" w:customStyle="1" w:styleId="26">
    <w:name w:val="标准文件_附录五级条标题"/>
    <w:next w:val="17"/>
    <w:uiPriority w:val="0"/>
    <w:pPr>
      <w:widowControl w:val="0"/>
      <w:numPr>
        <w:ilvl w:val="5"/>
        <w:numId w:val="2"/>
      </w:numPr>
      <w:spacing w:before="50" w:beforeLines="50" w:after="50" w:afterLines="50"/>
      <w:jc w:val="both"/>
      <w:outlineLvl w:val="6"/>
    </w:pPr>
    <w:rPr>
      <w:rFonts w:ascii="黑体" w:hAnsi="Times New Roman" w:eastAsia="黑体" w:cs="Times New Roman"/>
      <w:kern w:val="21"/>
      <w:sz w:val="21"/>
      <w:szCs w:val="20"/>
      <w:lang w:val="en-US" w:eastAsia="zh-CN" w:bidi="ar-SA"/>
    </w:rPr>
  </w:style>
  <w:style w:type="paragraph" w:customStyle="1" w:styleId="27">
    <w:name w:val="标准文件_前言、引言标题"/>
    <w:next w:val="1"/>
    <w:uiPriority w:val="0"/>
    <w:pPr>
      <w:numPr>
        <w:ilvl w:val="0"/>
        <w:numId w:val="5"/>
      </w:numPr>
      <w:shd w:val="clear" w:color="FFFFFF" w:fill="FFFFFF"/>
      <w:spacing w:after="150" w:afterLines="150"/>
      <w:ind w:left="0" w:firstLine="0"/>
      <w:jc w:val="center"/>
      <w:outlineLvl w:val="0"/>
    </w:pPr>
    <w:rPr>
      <w:rFonts w:ascii="黑体" w:hAnsi="Times New Roman" w:eastAsia="黑体" w:cs="Times New Roman"/>
      <w:kern w:val="0"/>
      <w:sz w:val="32"/>
      <w:szCs w:val="20"/>
      <w:lang w:val="en-US" w:eastAsia="zh-CN" w:bidi="ar-SA"/>
    </w:rPr>
  </w:style>
  <w:style w:type="paragraph" w:customStyle="1" w:styleId="28">
    <w:name w:val="标准文件_目录标题"/>
    <w:basedOn w:val="1"/>
    <w:uiPriority w:val="0"/>
    <w:pPr>
      <w:adjustRightInd w:val="0"/>
      <w:spacing w:after="150" w:afterLines="150"/>
      <w:jc w:val="center"/>
    </w:pPr>
    <w:rPr>
      <w:rFonts w:ascii="黑体" w:hAnsi="Calibri" w:eastAsia="黑体" w:cs="Times New Roman"/>
      <w:sz w:val="32"/>
      <w:szCs w:val="21"/>
    </w:rPr>
  </w:style>
  <w:style w:type="paragraph" w:customStyle="1" w:styleId="29">
    <w:name w:val="标准文件_三级条标题"/>
    <w:basedOn w:val="18"/>
    <w:next w:val="17"/>
    <w:uiPriority w:val="0"/>
    <w:pPr>
      <w:widowControl/>
      <w:numPr>
        <w:ilvl w:val="4"/>
      </w:numPr>
      <w:outlineLvl w:val="3"/>
    </w:pPr>
  </w:style>
  <w:style w:type="paragraph" w:customStyle="1" w:styleId="30">
    <w:name w:val="标准文件_四级条标题"/>
    <w:next w:val="17"/>
    <w:uiPriority w:val="0"/>
    <w:pPr>
      <w:widowControl w:val="0"/>
      <w:numPr>
        <w:ilvl w:val="5"/>
        <w:numId w:val="1"/>
      </w:numPr>
      <w:spacing w:before="50" w:beforeLines="50" w:after="50" w:afterLines="50"/>
      <w:jc w:val="both"/>
      <w:outlineLvl w:val="4"/>
    </w:pPr>
    <w:rPr>
      <w:rFonts w:ascii="黑体" w:hAnsi="Times New Roman" w:eastAsia="黑体" w:cs="Times New Roman"/>
      <w:kern w:val="0"/>
      <w:sz w:val="21"/>
      <w:szCs w:val="20"/>
      <w:lang w:val="en-US" w:eastAsia="zh-CN" w:bidi="ar-SA"/>
    </w:rPr>
  </w:style>
  <w:style w:type="paragraph" w:customStyle="1" w:styleId="31">
    <w:name w:val="标准文件_五级条标题"/>
    <w:next w:val="17"/>
    <w:uiPriority w:val="0"/>
    <w:pPr>
      <w:widowControl w:val="0"/>
      <w:numPr>
        <w:ilvl w:val="6"/>
        <w:numId w:val="1"/>
      </w:numPr>
      <w:spacing w:before="50" w:beforeLines="50" w:after="50" w:afterLines="50"/>
      <w:jc w:val="both"/>
      <w:outlineLvl w:val="5"/>
    </w:pPr>
    <w:rPr>
      <w:rFonts w:ascii="黑体" w:hAnsi="Times New Roman" w:eastAsia="黑体" w:cs="Times New Roman"/>
      <w:kern w:val="0"/>
      <w:sz w:val="21"/>
      <w:szCs w:val="20"/>
      <w:lang w:val="en-US" w:eastAsia="zh-CN" w:bidi="ar-SA"/>
    </w:rPr>
  </w:style>
  <w:style w:type="paragraph" w:customStyle="1" w:styleId="32">
    <w:name w:val="标准文件_章标题"/>
    <w:next w:val="17"/>
    <w:uiPriority w:val="0"/>
    <w:pPr>
      <w:numPr>
        <w:ilvl w:val="1"/>
        <w:numId w:val="1"/>
      </w:numPr>
      <w:spacing w:before="100" w:beforeLines="100" w:after="100" w:afterLines="100"/>
      <w:jc w:val="both"/>
      <w:outlineLvl w:val="0"/>
    </w:pPr>
    <w:rPr>
      <w:rFonts w:ascii="黑体" w:hAnsi="Times New Roman" w:eastAsia="黑体" w:cs="Times New Roman"/>
      <w:kern w:val="0"/>
      <w:sz w:val="21"/>
      <w:szCs w:val="20"/>
      <w:lang w:val="en-US" w:eastAsia="zh-CN" w:bidi="ar-SA"/>
    </w:rPr>
  </w:style>
  <w:style w:type="paragraph" w:customStyle="1" w:styleId="33">
    <w:name w:val="标准文件_一级条标题"/>
    <w:basedOn w:val="32"/>
    <w:next w:val="17"/>
    <w:uiPriority w:val="0"/>
    <w:pPr>
      <w:numPr>
        <w:ilvl w:val="2"/>
      </w:numPr>
      <w:spacing w:before="50" w:beforeLines="50" w:after="50" w:afterLines="50"/>
      <w:outlineLvl w:val="1"/>
    </w:pPr>
  </w:style>
  <w:style w:type="paragraph" w:customStyle="1" w:styleId="34">
    <w:name w:val="封面标准英文名称"/>
    <w:uiPriority w:val="0"/>
    <w:pPr>
      <w:widowControl w:val="0"/>
      <w:spacing w:line="360" w:lineRule="exact"/>
      <w:jc w:val="center"/>
    </w:pPr>
    <w:rPr>
      <w:rFonts w:ascii="Times New Roman" w:hAnsi="Times New Roman" w:eastAsia="宋体" w:cs="Times New Roman"/>
      <w:kern w:val="0"/>
      <w:sz w:val="28"/>
      <w:szCs w:val="20"/>
      <w:lang w:val="en-US" w:eastAsia="zh-CN" w:bidi="ar-SA"/>
    </w:rPr>
  </w:style>
  <w:style w:type="paragraph" w:customStyle="1" w:styleId="35">
    <w:name w:val="其他发布部门"/>
    <w:basedOn w:val="1"/>
    <w:uiPriority w:val="0"/>
    <w:pPr>
      <w:framePr w:w="7433" w:h="585" w:hRule="exact" w:hSpace="180" w:vSpace="180" w:wrap="around" w:vAnchor="margin" w:hAnchor="margin" w:xAlign="center" w:y="14401" w:anchorLock="1"/>
      <w:widowControl/>
      <w:spacing w:line="0" w:lineRule="atLeast"/>
      <w:jc w:val="center"/>
    </w:pPr>
    <w:rPr>
      <w:rFonts w:ascii="黑体" w:hAnsi="Times New Roman" w:eastAsia="黑体" w:cs="Times New Roman"/>
      <w:w w:val="135"/>
      <w:kern w:val="0"/>
      <w:sz w:val="36"/>
      <w:szCs w:val="20"/>
    </w:rPr>
  </w:style>
  <w:style w:type="paragraph" w:customStyle="1" w:styleId="36">
    <w:name w:val="前言标题"/>
    <w:next w:val="1"/>
    <w:uiPriority w:val="0"/>
    <w:pPr>
      <w:numPr>
        <w:ilvl w:val="0"/>
        <w:numId w:val="1"/>
      </w:numPr>
      <w:shd w:val="clear" w:color="FFFFFF" w:fill="FFFFFF"/>
      <w:spacing w:before="540" w:after="600"/>
      <w:jc w:val="center"/>
      <w:outlineLvl w:val="0"/>
    </w:pPr>
    <w:rPr>
      <w:rFonts w:ascii="黑体" w:hAnsi="Times New Roman" w:eastAsia="黑体" w:cs="Times New Roman"/>
      <w:kern w:val="0"/>
      <w:sz w:val="32"/>
      <w:szCs w:val="20"/>
      <w:lang w:val="en-US" w:eastAsia="zh-CN" w:bidi="ar-SA"/>
    </w:rPr>
  </w:style>
  <w:style w:type="paragraph" w:customStyle="1" w:styleId="3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character" w:customStyle="1" w:styleId="38">
    <w:name w:val="标准文件_段 Char"/>
    <w:link w:val="17"/>
    <w:qFormat/>
    <w:uiPriority w:val="0"/>
    <w:rPr>
      <w:rFonts w:ascii="宋体" w:hAnsi="Times New Roman" w:eastAsia="宋体" w:cs="Times New Roman"/>
      <w:kern w:val="0"/>
      <w:szCs w:val="20"/>
    </w:rPr>
  </w:style>
  <w:style w:type="paragraph" w:customStyle="1" w:styleId="39">
    <w:name w:val="其他发布日期"/>
    <w:basedOn w:val="1"/>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40">
    <w:name w:val="其他实施日期"/>
    <w:basedOn w:val="1"/>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41">
    <w:name w:val="标准文件_文件编号"/>
    <w:basedOn w:val="1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42">
    <w:name w:val="标准文件_替换文件编号"/>
    <w:basedOn w:val="41"/>
    <w:qFormat/>
    <w:uiPriority w:val="0"/>
    <w:pPr>
      <w:framePr/>
      <w:spacing w:before="57"/>
    </w:pPr>
    <w:rPr>
      <w:sz w:val="21"/>
    </w:rPr>
  </w:style>
  <w:style w:type="paragraph" w:customStyle="1" w:styleId="43">
    <w:name w:val="标准文件_文件名称"/>
    <w:basedOn w:val="17"/>
    <w:next w:val="1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44">
    <w:name w:val="标准文件_附录图标号"/>
    <w:basedOn w:val="17"/>
    <w:next w:val="17"/>
    <w:qFormat/>
    <w:uiPriority w:val="0"/>
    <w:pPr>
      <w:numPr>
        <w:ilvl w:val="0"/>
        <w:numId w:val="4"/>
      </w:numPr>
      <w:tabs>
        <w:tab w:val="left" w:pos="360"/>
      </w:tabs>
      <w:spacing w:line="14" w:lineRule="exact"/>
      <w:ind w:left="0" w:firstLine="0" w:firstLineChars="0"/>
      <w:jc w:val="center"/>
    </w:pPr>
    <w:rPr>
      <w:rFonts w:ascii="黑体" w:hAnsi="黑体" w:eastAsia="黑体"/>
      <w:vanish/>
      <w:sz w:val="2"/>
      <w:szCs w:val="21"/>
    </w:rPr>
  </w:style>
  <w:style w:type="paragraph" w:customStyle="1" w:styleId="45">
    <w:name w:val="标准文件_附录表标号"/>
    <w:basedOn w:val="17"/>
    <w:next w:val="17"/>
    <w:qFormat/>
    <w:uiPriority w:val="0"/>
    <w:pPr>
      <w:numPr>
        <w:ilvl w:val="0"/>
        <w:numId w:val="3"/>
      </w:numPr>
      <w:tabs>
        <w:tab w:val="left" w:pos="360"/>
      </w:tabs>
      <w:spacing w:line="14" w:lineRule="exact"/>
      <w:ind w:left="0" w:firstLine="0" w:firstLineChars="0"/>
      <w:jc w:val="center"/>
    </w:pPr>
    <w:rPr>
      <w:rFonts w:eastAsia="黑体"/>
      <w:vanish/>
      <w:sz w:val="2"/>
    </w:rPr>
  </w:style>
  <w:style w:type="paragraph" w:customStyle="1" w:styleId="46">
    <w:name w:val="标准文件_引言一级条标题"/>
    <w:basedOn w:val="17"/>
    <w:next w:val="17"/>
    <w:qFormat/>
    <w:uiPriority w:val="0"/>
    <w:pPr>
      <w:numPr>
        <w:ilvl w:val="1"/>
        <w:numId w:val="5"/>
      </w:numPr>
      <w:tabs>
        <w:tab w:val="left" w:pos="360"/>
      </w:tabs>
      <w:spacing w:before="50" w:beforeLines="50" w:after="50" w:afterLines="50"/>
      <w:ind w:firstLine="200" w:firstLineChars="0"/>
    </w:pPr>
    <w:rPr>
      <w:rFonts w:ascii="黑体" w:eastAsia="黑体"/>
    </w:rPr>
  </w:style>
  <w:style w:type="paragraph" w:customStyle="1" w:styleId="47">
    <w:name w:val="标准文件_引言二级条标题"/>
    <w:basedOn w:val="17"/>
    <w:next w:val="17"/>
    <w:qFormat/>
    <w:uiPriority w:val="0"/>
    <w:pPr>
      <w:numPr>
        <w:ilvl w:val="2"/>
        <w:numId w:val="5"/>
      </w:numPr>
      <w:tabs>
        <w:tab w:val="left" w:pos="360"/>
      </w:tabs>
      <w:spacing w:before="50" w:beforeLines="50" w:after="50" w:afterLines="50"/>
      <w:ind w:firstLine="200" w:firstLineChars="0"/>
    </w:pPr>
    <w:rPr>
      <w:rFonts w:ascii="黑体" w:eastAsia="黑体"/>
    </w:rPr>
  </w:style>
  <w:style w:type="paragraph" w:customStyle="1" w:styleId="48">
    <w:name w:val="标准文件_引言三级条标题"/>
    <w:basedOn w:val="17"/>
    <w:next w:val="17"/>
    <w:qFormat/>
    <w:uiPriority w:val="0"/>
    <w:pPr>
      <w:numPr>
        <w:ilvl w:val="3"/>
        <w:numId w:val="5"/>
      </w:numPr>
      <w:tabs>
        <w:tab w:val="left" w:pos="360"/>
      </w:tabs>
      <w:spacing w:before="50" w:beforeLines="50" w:after="50" w:afterLines="50"/>
      <w:ind w:firstLine="200" w:firstLineChars="0"/>
    </w:pPr>
    <w:rPr>
      <w:rFonts w:ascii="黑体" w:eastAsia="黑体"/>
    </w:rPr>
  </w:style>
  <w:style w:type="paragraph" w:customStyle="1" w:styleId="49">
    <w:name w:val="标准文件_引言四级条标题"/>
    <w:basedOn w:val="17"/>
    <w:next w:val="17"/>
    <w:qFormat/>
    <w:uiPriority w:val="0"/>
    <w:pPr>
      <w:numPr>
        <w:ilvl w:val="4"/>
        <w:numId w:val="5"/>
      </w:numPr>
      <w:tabs>
        <w:tab w:val="left" w:pos="360"/>
      </w:tabs>
      <w:spacing w:before="50" w:beforeLines="50" w:after="50" w:afterLines="50"/>
      <w:ind w:firstLine="200" w:firstLineChars="0"/>
    </w:pPr>
    <w:rPr>
      <w:rFonts w:ascii="黑体" w:eastAsia="黑体"/>
    </w:rPr>
  </w:style>
  <w:style w:type="paragraph" w:customStyle="1" w:styleId="50">
    <w:name w:val="标准文件_引言五级条标题"/>
    <w:basedOn w:val="17"/>
    <w:next w:val="17"/>
    <w:qFormat/>
    <w:uiPriority w:val="0"/>
    <w:pPr>
      <w:numPr>
        <w:ilvl w:val="5"/>
        <w:numId w:val="5"/>
      </w:numPr>
      <w:tabs>
        <w:tab w:val="left" w:pos="360"/>
      </w:tabs>
      <w:spacing w:before="50" w:beforeLines="50" w:after="50" w:afterLines="50"/>
      <w:ind w:firstLine="200" w:firstLineChars="0"/>
    </w:pPr>
    <w:rPr>
      <w:rFonts w:ascii="黑体" w:eastAsia="黑体"/>
    </w:rPr>
  </w:style>
  <w:style w:type="paragraph" w:customStyle="1" w:styleId="51">
    <w:name w:val="标准文件_术语条一"/>
    <w:basedOn w:val="1"/>
    <w:next w:val="17"/>
    <w:qFormat/>
    <w:uiPriority w:val="0"/>
    <w:pPr>
      <w:widowControl/>
    </w:pPr>
    <w:rPr>
      <w:rFonts w:ascii="宋体" w:hAnsi="Times New Roman" w:eastAsia="宋体" w:cs="Times New Roman"/>
      <w:kern w:val="0"/>
      <w:szCs w:val="20"/>
    </w:rPr>
  </w:style>
  <w:style w:type="character" w:customStyle="1" w:styleId="52">
    <w:name w:val="发布"/>
    <w:basedOn w:val="7"/>
    <w:uiPriority w:val="0"/>
    <w:rPr>
      <w:rFonts w:ascii="黑体" w:eastAsia="黑体"/>
      <w:spacing w:val="85"/>
      <w:w w:val="100"/>
      <w:position w:val="3"/>
      <w:sz w:val="28"/>
      <w:szCs w:val="28"/>
    </w:rPr>
  </w:style>
  <w:style w:type="table" w:customStyle="1" w:styleId="53">
    <w:name w:val="网格型1"/>
    <w:basedOn w:val="5"/>
    <w:uiPriority w:val="0"/>
    <w:rPr>
      <w:rFonts w:ascii="宋体" w:hAnsi="Times New Roman" w:eastAsia="宋体" w:cs="Times New Roman"/>
      <w:kern w:val="0"/>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jpeg"/><Relationship Id="rId11" Type="http://schemas.openxmlformats.org/officeDocument/2006/relationships/image" Target="media/image1.tiff"/><Relationship Id="rId10" Type="http://schemas.openxmlformats.org/officeDocument/2006/relationships/theme" Target="theme/theme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8792686F77C41AD9DE1A737EDA004AC"/>
        <w:style w:val=""/>
        <w:category>
          <w:name w:val="常规"/>
          <w:gallery w:val="placeholder"/>
        </w:category>
        <w:types>
          <w:type w:val="bbPlcHdr"/>
        </w:types>
        <w:behaviors>
          <w:behavior w:val="content"/>
        </w:behaviors>
        <w:description w:val=""/>
        <w:guid w:val="{54A08754-8552-4879-9BBC-367C2190B268}"/>
      </w:docPartPr>
      <w:docPartBody>
        <w:p>
          <w:pPr>
            <w:pStyle w:val="5"/>
          </w:pPr>
          <w:r>
            <w:rPr>
              <w:rStyle w:val="4"/>
              <w:rFonts w:hint="eastAsia"/>
            </w:rPr>
            <w:t>单击或点击此处输入文字。</w:t>
          </w:r>
        </w:p>
      </w:docPartBody>
    </w:docPart>
    <w:docPart>
      <w:docPartPr>
        <w:name w:val="4D623D522077438E9D9D8C6B9691D6E6"/>
        <w:style w:val=""/>
        <w:category>
          <w:name w:val="常规"/>
          <w:gallery w:val="placeholder"/>
        </w:category>
        <w:types>
          <w:type w:val="bbPlcHdr"/>
        </w:types>
        <w:behaviors>
          <w:behavior w:val="content"/>
        </w:behaviors>
        <w:description w:val=""/>
        <w:guid w:val="{D1681995-F43F-4569-9895-1663043510D3}"/>
      </w:docPartPr>
      <w:docPartBody>
        <w:p>
          <w:pPr>
            <w:pStyle w:val="6"/>
          </w:pPr>
          <w:r>
            <w:rPr>
              <w:rStyle w:val="4"/>
              <w:rFonts w:hint="eastAsia"/>
            </w:rPr>
            <w:t>选择一项。</w:t>
          </w:r>
        </w:p>
      </w:docPartBody>
    </w:docPart>
    <w:docPart>
      <w:docPartPr>
        <w:name w:val="CC4B813CA16747318D3C98640B317E13"/>
        <w:style w:val=""/>
        <w:category>
          <w:name w:val="常规"/>
          <w:gallery w:val="placeholder"/>
        </w:category>
        <w:types>
          <w:type w:val="bbPlcHdr"/>
        </w:types>
        <w:behaviors>
          <w:behavior w:val="content"/>
        </w:behaviors>
        <w:description w:val=""/>
        <w:guid w:val="{779DFE94-4F7B-4406-93E9-0EC9E8E8961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1DF"/>
    <w:rsid w:val="00A16B8B"/>
    <w:rsid w:val="00B143FE"/>
    <w:rsid w:val="00C07C7E"/>
    <w:rsid w:val="00C07E34"/>
    <w:rsid w:val="00FD5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78792686F77C41AD9DE1A737EDA004AC"/>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4D623D522077438E9D9D8C6B9691D6E6"/>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CC4B813CA16747318D3C98640B317E13"/>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3022</Words>
  <Characters>3547</Characters>
  <Lines>37</Lines>
  <Paragraphs>10</Paragraphs>
  <TotalTime>0</TotalTime>
  <ScaleCrop>false</ScaleCrop>
  <LinksUpToDate>false</LinksUpToDate>
  <CharactersWithSpaces>3835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2024-04-19T05:18:00Z</dcterms:created>
  <dc:creator>s gao</dc:creator>
  <cp:lastModifiedBy>奥特曼斑斑 </cp:lastModifiedBy>
  <cp:lastPrinted>2024-04-19T05:42:00Z</cp:lastPrinted>
  <dcterms:modified xsi:type="dcterms:W3CDTF">2024-05-13T23:53:00Z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829DA9641BCD47FF8055682F62A4B42D_12</vt:lpwstr>
  </property>
</Properties>
</file>